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w w:val="98"/>
          <w:kern w:val="0"/>
          <w:sz w:val="44"/>
          <w:szCs w:val="44"/>
          <w:lang w:eastAsia="zh-CN"/>
        </w:rPr>
      </w:pPr>
      <w:r>
        <w:rPr>
          <w:rFonts w:hint="eastAsia" w:ascii="方正小标宋_GBK" w:hAnsi="方正小标宋_GBK" w:eastAsia="方正小标宋_GBK" w:cs="方正小标宋_GBK"/>
          <w:b/>
          <w:w w:val="98"/>
          <w:kern w:val="0"/>
          <w:sz w:val="44"/>
          <w:szCs w:val="44"/>
          <w:lang w:eastAsia="zh-CN"/>
        </w:rPr>
        <w:t>重庆公路物流基地污水处理厂一期工程提标升级设计比选方案</w:t>
      </w:r>
    </w:p>
    <w:p>
      <w:pPr>
        <w:keepNext w:val="0"/>
        <w:keepLines w:val="0"/>
        <w:pageBreakBefore w:val="0"/>
        <w:widowControl w:val="0"/>
        <w:kinsoku/>
        <w:wordWrap/>
        <w:overflowPunct/>
        <w:topLinePunct w:val="0"/>
        <w:autoSpaceDE/>
        <w:autoSpaceDN/>
        <w:bidi w:val="0"/>
        <w:adjustRightInd/>
        <w:snapToGrid/>
        <w:spacing w:line="560" w:lineRule="exact"/>
        <w:ind w:left="53" w:leftChars="25"/>
        <w:jc w:val="center"/>
        <w:textAlignment w:val="auto"/>
        <w:rPr>
          <w:rFonts w:hint="eastAsia" w:ascii="方正仿宋_GBK" w:hAnsi="方正仿宋_GBK" w:eastAsia="方正仿宋_GBK" w:cs="方正仿宋_GBK"/>
          <w:b/>
          <w:w w:val="98"/>
          <w:kern w:val="0"/>
          <w:sz w:val="11"/>
          <w:szCs w:val="1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黑体" w:hAnsi="黑体" w:eastAsia="黑体" w:cs="黑体"/>
          <w:b/>
          <w:sz w:val="32"/>
          <w:szCs w:val="32"/>
        </w:rPr>
      </w:pPr>
      <w:r>
        <w:rPr>
          <w:rFonts w:hint="eastAsia" w:ascii="黑体" w:hAnsi="黑体" w:eastAsia="黑体" w:cs="黑体"/>
          <w:b/>
          <w:sz w:val="32"/>
          <w:szCs w:val="32"/>
          <w:lang w:eastAsia="zh-CN"/>
        </w:rPr>
        <w:t>一、</w:t>
      </w:r>
      <w:r>
        <w:rPr>
          <w:rFonts w:hint="eastAsia" w:ascii="黑体" w:hAnsi="黑体" w:eastAsia="黑体" w:cs="黑体"/>
          <w:b/>
          <w:sz w:val="32"/>
          <w:szCs w:val="32"/>
        </w:rPr>
        <w:t>工程概况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（一）项目业主：重庆公路物流基地建设有限公司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项目名称：重庆公路物流基地污水处理厂一期工程提标升级设计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规模及内容：物流基地污水处理厂一期工程污水处理规模为2万吨/日，采用CASS生物处理辅以化学除磷的处理工艺，深度处理采用高密度澄清池+滤布滤池流程，出水水质指标满足《城镇污水处理厂污染物排放标准》（GB18918－2002）一级A标准，现在按区建委要求出水水质提标到准IV类水标准，建设内容包括处理池、机房、配套管网、配套附属工程以及机械设备改造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（四）招标范围：方案设计、初步设计（含概算）、施工图设计及相关服务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（五）工期要求：方案设计15日历天、初步设计15日历天、施工图设计15日历天，均不含审查时间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（六）质量目标：满足国家及行业相关规范，通过相关部门审查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（七）支付方式：取得工程规划许可证后支付至20%；取得初设批复和概算批复后，支付至设计费的50%；完成施工图审查，预算评审通过后，支付至设计费的80%；工程竣工验收完成后支付剩余尾款。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b/>
          <w:sz w:val="32"/>
          <w:szCs w:val="32"/>
        </w:rPr>
      </w:pPr>
      <w:r>
        <w:rPr>
          <w:rFonts w:hint="eastAsia" w:ascii="黑体" w:hAnsi="黑体" w:eastAsia="黑体" w:cs="黑体"/>
          <w:b/>
          <w:sz w:val="32"/>
          <w:szCs w:val="32"/>
        </w:rPr>
        <w:t>二、比选方式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本次比选公告在重庆公路物流基地官网</w:t>
      </w:r>
      <w:r>
        <w:rPr>
          <w:rFonts w:ascii="微软雅黑" w:hAnsi="微软雅黑" w:eastAsia="微软雅黑" w:cs="微软雅黑"/>
          <w:b w:val="0"/>
          <w:i w:val="0"/>
          <w:caps w:val="0"/>
          <w:color w:val="666666"/>
          <w:spacing w:val="0"/>
          <w:sz w:val="18"/>
          <w:szCs w:val="18"/>
        </w:rPr>
        <w:t>(http://www.highwaylogistics.org/)</w:t>
      </w:r>
      <w:r>
        <w:rPr>
          <w:rFonts w:hint="eastAsia" w:ascii="仿宋_GB2312" w:hAnsi="仿宋_GB2312" w:eastAsia="仿宋_GB2312" w:cs="仿宋_GB2312"/>
          <w:sz w:val="28"/>
          <w:szCs w:val="28"/>
          <w:lang w:eastAsia="zh-CN"/>
        </w:rPr>
        <w:t>发布，凡符合要求的潜在竞标人均可报名参加此次比选。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color w:val="auto"/>
          <w:sz w:val="28"/>
          <w:szCs w:val="28"/>
          <w:lang w:val="en-US" w:eastAsia="zh-CN"/>
        </w:rPr>
      </w:pPr>
      <w:bookmarkStart w:id="0" w:name="_Toc166834470"/>
      <w:r>
        <w:rPr>
          <w:rFonts w:hint="eastAsia" w:ascii="仿宋_GB2312" w:hAnsi="仿宋_GB2312" w:eastAsia="仿宋_GB2312" w:cs="仿宋_GB2312"/>
          <w:color w:val="auto"/>
          <w:sz w:val="28"/>
          <w:szCs w:val="28"/>
          <w:lang w:eastAsia="zh-CN"/>
        </w:rPr>
        <w:t>（二）本项目采用资格预审制，凡有意参加本次比选的单位，请法定代表人或授权委托人（持授权委托书）于2019年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lang w:val="en-US" w:eastAsia="zh-CN"/>
        </w:rPr>
        <w:t>14：30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15：00</w:t>
      </w:r>
      <w:r>
        <w:rPr>
          <w:rFonts w:hint="eastAsia" w:ascii="仿宋_GB2312" w:hAnsi="仿宋_GB2312" w:eastAsia="仿宋_GB2312" w:cs="仿宋_GB2312"/>
          <w:color w:val="auto"/>
          <w:sz w:val="28"/>
          <w:szCs w:val="28"/>
          <w:lang w:eastAsia="zh-CN"/>
        </w:rPr>
        <w:t>时按资格审查要求将资格审查材料递交我司并报名。资格审查结果将在重庆公路物流基地官网挂网公示（最终结果以重庆公路物流基地官网挂网公示结果为准，各竞选人应自行通过重庆公路物流基地官网进行查询并跟进后续工作），通过资格审查要求的报名单位请法定代表人或授权委托人（持授权委托书）于2019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lang w:val="en-US" w:eastAsia="zh-CN"/>
        </w:rPr>
        <w:t>14：30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15：00</w:t>
      </w:r>
      <w:r>
        <w:rPr>
          <w:rFonts w:hint="eastAsia" w:ascii="仿宋_GB2312" w:hAnsi="仿宋_GB2312" w:eastAsia="仿宋_GB2312" w:cs="仿宋_GB2312"/>
          <w:color w:val="auto"/>
          <w:sz w:val="28"/>
          <w:szCs w:val="28"/>
          <w:lang w:eastAsia="zh-CN"/>
        </w:rPr>
        <w:t>时按密封要求将比选函递交我司。</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w:t>
      </w:r>
      <w:bookmarkEnd w:id="0"/>
      <w:r>
        <w:rPr>
          <w:rFonts w:hint="eastAsia" w:ascii="仿宋_GB2312" w:hAnsi="仿宋_GB2312" w:eastAsia="仿宋_GB2312" w:cs="仿宋_GB2312"/>
          <w:color w:val="auto"/>
          <w:sz w:val="28"/>
          <w:szCs w:val="28"/>
        </w:rPr>
        <w:t>资格审查材料按资审要求提供，须装订成册，字迹、资料文件内容须清晰可辨，资审资料可不装袋密封。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（四）比选函应当密封在文件袋（信封）中，封口处加盖单位公章，在封面写明项目名称并加盖单位公章。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）由重庆公路物流基地建设有限公司评审小组进行竞争性比选，确定中标单位</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（六）本次比选最低投标人数量要求：无。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三、资审要求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参选人必须具备的资质条件和能力：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）市政行业（排水工程）专业甲级及以上资质。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（二）独立法人资格单位，有效的营业执照（须提供营业执照复印件加盖投标人鲜章）。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投标人需提供</w:t>
      </w:r>
      <w:r>
        <w:rPr>
          <w:rFonts w:hint="eastAsia" w:ascii="仿宋_GB2312" w:hAnsi="仿宋_GB2312" w:eastAsia="仿宋_GB2312" w:cs="仿宋_GB2312"/>
          <w:sz w:val="28"/>
          <w:szCs w:val="28"/>
          <w:lang w:val="en-US" w:eastAsia="zh-CN"/>
        </w:rPr>
        <w:t>2017年至今的一个及以上类似业绩的证明材料（须提供设计合同（或中标通知书）复印件或其他证明材料并加盖投标人鲜章）。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外地勘察设计企业投标：重庆市市外勘察设计企业参与本项目投标须按照渝建发[2017]19号文执行。《重庆市市外勘察设计企业入渝备案登记证》在有效期内，提供《重庆市市外勘察设计企业入渝备案登记证》复印件加盖投标企业鲜章；原《重庆市市外勘察设计企业入渝备案登记证》有效期已满或新入渝的市外勘察设计企业须按照渝建发[2017]19号文的要求办理入渝信息报送，提供“重庆市城乡建设委员会勘察设计行业综合信息平台”的信息截图（截图内容齐全，应包括网页表头及主要信息）并加盖投标企业鲜章，否则作废标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（五）以上资格审查材料提供复印件盖单位公章（原件备查）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四、最高限价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本次招标以总价的方式报价，设计费（含税）包干最高限价为</w:t>
      </w:r>
      <w:r>
        <w:rPr>
          <w:rFonts w:hint="eastAsia" w:ascii="仿宋_GB2312" w:hAnsi="仿宋_GB2312" w:eastAsia="仿宋_GB2312" w:cs="仿宋_GB2312"/>
          <w:sz w:val="28"/>
          <w:szCs w:val="28"/>
          <w:lang w:val="en-US" w:eastAsia="zh-CN"/>
        </w:rPr>
        <w:t>19.9万元</w:t>
      </w:r>
      <w:r>
        <w:rPr>
          <w:rFonts w:hint="eastAsia" w:ascii="仿宋_GB2312" w:hAnsi="仿宋_GB2312" w:eastAsia="仿宋_GB2312" w:cs="仿宋_GB2312"/>
          <w:sz w:val="28"/>
          <w:szCs w:val="28"/>
          <w:lang w:eastAsia="zh-CN"/>
        </w:rPr>
        <w:t>，其报价不能高于最高限价。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五、评标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lang w:val="en-US" w:eastAsia="zh-CN"/>
        </w:rPr>
      </w:pPr>
      <w:r>
        <w:rPr>
          <w:rFonts w:hint="eastAsia" w:ascii="仿宋_GB2312" w:hAnsi="仿宋_GB2312" w:eastAsia="仿宋_GB2312" w:cs="仿宋_GB2312"/>
          <w:sz w:val="28"/>
          <w:szCs w:val="28"/>
          <w:lang w:val="en-US" w:eastAsia="zh-CN"/>
        </w:rPr>
        <w:t>本项目评标采用综合评估法，所有通过资格审查的投标人（招标人设有最高限价的，则投标报价高于相应最高限价的除外），按报价评标办法表评分最高的为候选人第一名，次低者为候选人第二名，依此类推确定为候选人第三名（评分相等时，以投标报价低的优先；投标报价也相等的，由项目业主抽签或自行确定）。</w:t>
      </w:r>
    </w:p>
    <w:tbl>
      <w:tblPr>
        <w:tblStyle w:val="9"/>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653"/>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720" w:type="dxa"/>
            <w:gridSpan w:val="3"/>
            <w:vAlign w:val="center"/>
          </w:tcPr>
          <w:p>
            <w:pPr>
              <w:numPr>
                <w:ilvl w:val="0"/>
                <w:numId w:val="0"/>
              </w:numPr>
              <w:spacing w:before="120" w:beforeLines="50" w:line="340" w:lineRule="exact"/>
              <w:ind w:leftChars="0"/>
              <w:jc w:val="center"/>
              <w:rPr>
                <w:rFonts w:hint="eastAsia" w:ascii="宋体" w:hAnsi="宋体" w:cs="宋体"/>
                <w:kern w:val="0"/>
              </w:rPr>
            </w:pPr>
            <w:r>
              <w:rPr>
                <w:rFonts w:hint="eastAsia" w:ascii="宋体" w:hAnsi="宋体" w:cs="宋体"/>
                <w:kern w:val="0"/>
              </w:rPr>
              <w:t>报价评标办法表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96" w:type="dxa"/>
            <w:vAlign w:val="center"/>
          </w:tcPr>
          <w:p>
            <w:pPr>
              <w:spacing w:line="388" w:lineRule="exact"/>
              <w:ind w:firstLine="210" w:firstLineChars="100"/>
              <w:jc w:val="center"/>
              <w:rPr>
                <w:rFonts w:hint="eastAsia" w:ascii="宋体" w:hAnsi="宋体" w:cs="宋体"/>
                <w:kern w:val="0"/>
              </w:rPr>
            </w:pPr>
            <w:r>
              <w:rPr>
                <w:rFonts w:hint="eastAsia" w:ascii="宋体" w:hAnsi="宋体" w:cs="宋体"/>
                <w:kern w:val="0"/>
              </w:rPr>
              <w:t>1</w:t>
            </w:r>
          </w:p>
        </w:tc>
        <w:tc>
          <w:tcPr>
            <w:tcW w:w="1653" w:type="dxa"/>
            <w:vAlign w:val="center"/>
          </w:tcPr>
          <w:p>
            <w:pPr>
              <w:tabs>
                <w:tab w:val="left" w:pos="1875"/>
              </w:tabs>
              <w:spacing w:line="388" w:lineRule="exact"/>
              <w:jc w:val="center"/>
              <w:rPr>
                <w:rFonts w:hint="eastAsia" w:ascii="宋体" w:hAnsi="宋体" w:cs="宋体"/>
                <w:kern w:val="0"/>
              </w:rPr>
            </w:pPr>
            <w:r>
              <w:rPr>
                <w:rFonts w:hint="eastAsia" w:ascii="宋体" w:hAnsi="宋体" w:cs="宋体"/>
                <w:kern w:val="0"/>
              </w:rPr>
              <w:t xml:space="preserve">分值构成 </w:t>
            </w:r>
          </w:p>
        </w:tc>
        <w:tc>
          <w:tcPr>
            <w:tcW w:w="6171" w:type="dxa"/>
            <w:vAlign w:val="top"/>
          </w:tcPr>
          <w:p>
            <w:pPr>
              <w:numPr>
                <w:ilvl w:val="0"/>
                <w:numId w:val="0"/>
              </w:numPr>
              <w:spacing w:before="120" w:beforeLines="50" w:line="340" w:lineRule="exact"/>
              <w:ind w:left="0" w:leftChars="0" w:firstLine="0" w:firstLineChars="0"/>
              <w:rPr>
                <w:rFonts w:ascii="宋体" w:hAnsi="宋体" w:cs="宋体"/>
                <w:kern w:val="0"/>
              </w:rPr>
            </w:pPr>
            <w:r>
              <w:rPr>
                <w:rFonts w:ascii="宋体" w:hAnsi="宋体" w:cs="宋体"/>
                <w:kern w:val="0"/>
              </w:rPr>
              <w:t>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9" w:hRule="atLeast"/>
        </w:trPr>
        <w:tc>
          <w:tcPr>
            <w:tcW w:w="1896" w:type="dxa"/>
            <w:vAlign w:val="center"/>
          </w:tcPr>
          <w:p>
            <w:pPr>
              <w:spacing w:line="388" w:lineRule="exact"/>
              <w:jc w:val="center"/>
              <w:rPr>
                <w:rFonts w:hint="eastAsia" w:ascii="宋体" w:hAnsi="宋体" w:cs="宋体"/>
                <w:kern w:val="0"/>
              </w:rPr>
            </w:pPr>
            <w:r>
              <w:rPr>
                <w:rFonts w:hint="eastAsia" w:ascii="宋体" w:hAnsi="宋体" w:cs="宋体"/>
                <w:kern w:val="0"/>
              </w:rPr>
              <w:t>2</w:t>
            </w:r>
          </w:p>
        </w:tc>
        <w:tc>
          <w:tcPr>
            <w:tcW w:w="1653" w:type="dxa"/>
            <w:vAlign w:val="center"/>
          </w:tcPr>
          <w:p>
            <w:pPr>
              <w:spacing w:line="441" w:lineRule="exact"/>
              <w:jc w:val="center"/>
              <w:rPr>
                <w:rFonts w:hint="eastAsia" w:ascii="宋体" w:hAnsi="宋体" w:cs="宋体"/>
                <w:kern w:val="0"/>
              </w:rPr>
            </w:pPr>
            <w:r>
              <w:rPr>
                <w:rFonts w:hint="eastAsia" w:ascii="宋体" w:hAnsi="宋体" w:cs="宋体"/>
                <w:kern w:val="0"/>
              </w:rPr>
              <w:t>投标报价评标基准价计算方法</w:t>
            </w:r>
          </w:p>
        </w:tc>
        <w:tc>
          <w:tcPr>
            <w:tcW w:w="61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新宋体" w:hAnsi="新宋体" w:eastAsia="新宋体" w:cs="宋体"/>
                <w:kern w:val="0"/>
                <w:szCs w:val="21"/>
              </w:rPr>
            </w:pPr>
            <w:r>
              <w:rPr>
                <w:rFonts w:hint="eastAsia" w:ascii="新宋体" w:hAnsi="新宋体" w:eastAsia="新宋体" w:cs="宋体"/>
                <w:kern w:val="0"/>
                <w:szCs w:val="21"/>
              </w:rPr>
              <w:t>①所有通过评审合格的投标人（招标人设有最高限价的，则投标总报价高于相应最高限价的除外）的投标总报价中，由最高限价到最高限价下浮20%区间内的所有有效投标报价取算术平均值即为投标总报价的评标基准价。</w:t>
            </w:r>
          </w:p>
          <w:p>
            <w:pPr>
              <w:keepNext w:val="0"/>
              <w:keepLines w:val="0"/>
              <w:pageBreakBefore w:val="0"/>
              <w:widowControl w:val="0"/>
              <w:kinsoku/>
              <w:wordWrap/>
              <w:overflowPunct/>
              <w:topLinePunct w:val="0"/>
              <w:autoSpaceDE/>
              <w:autoSpaceDN/>
              <w:bidi w:val="0"/>
              <w:adjustRightInd/>
              <w:spacing w:line="400" w:lineRule="exact"/>
              <w:ind w:left="113" w:leftChars="54" w:right="113" w:firstLine="210" w:firstLineChars="100"/>
              <w:textAlignment w:val="auto"/>
              <w:outlineLvl w:val="9"/>
              <w:rPr>
                <w:rFonts w:hint="eastAsia" w:ascii="新宋体" w:hAnsi="新宋体" w:eastAsia="新宋体" w:cs="宋体"/>
                <w:kern w:val="0"/>
                <w:szCs w:val="21"/>
              </w:rPr>
            </w:pPr>
            <w:r>
              <w:rPr>
                <w:rFonts w:hint="eastAsia" w:ascii="新宋体" w:hAnsi="新宋体" w:eastAsia="新宋体" w:cs="宋体"/>
                <w:kern w:val="0"/>
                <w:szCs w:val="21"/>
              </w:rPr>
              <w:t>②以上计算取小数点后两位，第三位四舍五入。</w:t>
            </w:r>
          </w:p>
          <w:p>
            <w:pPr>
              <w:keepNext w:val="0"/>
              <w:keepLines w:val="0"/>
              <w:pageBreakBefore w:val="0"/>
              <w:widowControl w:val="0"/>
              <w:kinsoku/>
              <w:wordWrap/>
              <w:overflowPunct/>
              <w:topLinePunct w:val="0"/>
              <w:autoSpaceDE/>
              <w:autoSpaceDN/>
              <w:bidi w:val="0"/>
              <w:adjustRightInd/>
              <w:spacing w:line="400" w:lineRule="exact"/>
              <w:ind w:left="113" w:leftChars="54" w:right="113" w:firstLine="210" w:firstLineChars="100"/>
              <w:textAlignment w:val="auto"/>
              <w:outlineLvl w:val="9"/>
              <w:rPr>
                <w:rFonts w:hint="eastAsia" w:ascii="新宋体" w:hAnsi="新宋体" w:eastAsia="新宋体" w:cs="宋体"/>
                <w:kern w:val="0"/>
                <w:szCs w:val="21"/>
              </w:rPr>
            </w:pPr>
            <w:r>
              <w:rPr>
                <w:rFonts w:hint="eastAsia" w:ascii="新宋体" w:hAnsi="新宋体" w:eastAsia="新宋体" w:cs="宋体"/>
                <w:kern w:val="0"/>
                <w:szCs w:val="21"/>
              </w:rPr>
              <w:t>③有效投标报价为满足以下全部条款的投标报价：</w:t>
            </w:r>
          </w:p>
          <w:p>
            <w:pPr>
              <w:keepNext w:val="0"/>
              <w:keepLines w:val="0"/>
              <w:pageBreakBefore w:val="0"/>
              <w:widowControl w:val="0"/>
              <w:kinsoku/>
              <w:wordWrap/>
              <w:overflowPunct/>
              <w:topLinePunct w:val="0"/>
              <w:autoSpaceDE/>
              <w:autoSpaceDN/>
              <w:bidi w:val="0"/>
              <w:adjustRightInd/>
              <w:spacing w:line="400" w:lineRule="exact"/>
              <w:ind w:left="113" w:leftChars="54" w:right="113" w:firstLine="210" w:firstLineChars="100"/>
              <w:textAlignment w:val="auto"/>
              <w:outlineLvl w:val="9"/>
              <w:rPr>
                <w:rFonts w:hint="eastAsia" w:ascii="新宋体" w:hAnsi="新宋体" w:eastAsia="新宋体" w:cs="宋体"/>
                <w:kern w:val="0"/>
                <w:szCs w:val="21"/>
              </w:rPr>
            </w:pPr>
            <w:r>
              <w:rPr>
                <w:rFonts w:hint="eastAsia" w:ascii="新宋体" w:hAnsi="新宋体" w:eastAsia="新宋体" w:cs="宋体"/>
                <w:kern w:val="0"/>
                <w:szCs w:val="21"/>
              </w:rPr>
              <w:t>a 不高于最高限价；</w:t>
            </w:r>
          </w:p>
          <w:p>
            <w:pPr>
              <w:keepNext w:val="0"/>
              <w:keepLines w:val="0"/>
              <w:pageBreakBefore w:val="0"/>
              <w:widowControl w:val="0"/>
              <w:kinsoku/>
              <w:wordWrap/>
              <w:overflowPunct/>
              <w:topLinePunct w:val="0"/>
              <w:autoSpaceDE/>
              <w:autoSpaceDN/>
              <w:bidi w:val="0"/>
              <w:adjustRightInd/>
              <w:spacing w:line="400" w:lineRule="exact"/>
              <w:ind w:left="113" w:leftChars="54" w:right="113" w:firstLine="210" w:firstLineChars="100"/>
              <w:textAlignment w:val="auto"/>
              <w:outlineLvl w:val="9"/>
              <w:rPr>
                <w:rFonts w:hint="eastAsia" w:ascii="新宋体" w:hAnsi="新宋体" w:eastAsia="新宋体" w:cs="宋体"/>
                <w:kern w:val="0"/>
                <w:szCs w:val="21"/>
              </w:rPr>
            </w:pPr>
            <w:r>
              <w:rPr>
                <w:rFonts w:hint="eastAsia" w:ascii="新宋体" w:hAnsi="新宋体" w:eastAsia="新宋体" w:cs="宋体"/>
                <w:kern w:val="0"/>
                <w:szCs w:val="21"/>
              </w:rPr>
              <w:t>b通过初步评审的投标报价；</w:t>
            </w:r>
          </w:p>
          <w:p>
            <w:pPr>
              <w:keepNext w:val="0"/>
              <w:keepLines w:val="0"/>
              <w:pageBreakBefore w:val="0"/>
              <w:widowControl w:val="0"/>
              <w:kinsoku/>
              <w:wordWrap/>
              <w:overflowPunct/>
              <w:topLinePunct w:val="0"/>
              <w:autoSpaceDE/>
              <w:autoSpaceDN/>
              <w:bidi w:val="0"/>
              <w:adjustRightInd/>
              <w:spacing w:line="400" w:lineRule="exact"/>
              <w:ind w:left="113" w:leftChars="54" w:right="113" w:firstLine="210" w:firstLineChars="100"/>
              <w:textAlignment w:val="auto"/>
              <w:outlineLvl w:val="9"/>
              <w:rPr>
                <w:rFonts w:hint="eastAsia" w:ascii="新宋体" w:hAnsi="新宋体" w:eastAsia="新宋体" w:cs="宋体"/>
                <w:kern w:val="0"/>
                <w:szCs w:val="21"/>
              </w:rPr>
            </w:pPr>
            <w:r>
              <w:rPr>
                <w:rFonts w:hint="eastAsia" w:ascii="新宋体" w:hAnsi="新宋体" w:eastAsia="新宋体" w:cs="宋体"/>
                <w:kern w:val="0"/>
                <w:szCs w:val="21"/>
              </w:rPr>
              <w:t>c 未被判定为无效标或废标的投标报价。</w:t>
            </w:r>
          </w:p>
          <w:p>
            <w:pPr>
              <w:keepNext w:val="0"/>
              <w:keepLines w:val="0"/>
              <w:pageBreakBefore w:val="0"/>
              <w:widowControl w:val="0"/>
              <w:kinsoku/>
              <w:wordWrap/>
              <w:overflowPunct/>
              <w:topLinePunct w:val="0"/>
              <w:autoSpaceDE/>
              <w:autoSpaceDN/>
              <w:bidi w:val="0"/>
              <w:adjustRightInd/>
              <w:spacing w:line="400" w:lineRule="exact"/>
              <w:ind w:left="113" w:leftChars="54" w:right="113" w:firstLine="210" w:firstLineChars="100"/>
              <w:textAlignment w:val="auto"/>
              <w:outlineLvl w:val="9"/>
              <w:rPr>
                <w:rFonts w:hint="eastAsia" w:ascii="新宋体" w:hAnsi="新宋体" w:eastAsia="新宋体" w:cs="宋体"/>
                <w:kern w:val="0"/>
                <w:szCs w:val="21"/>
              </w:rPr>
            </w:pPr>
            <w:r>
              <w:rPr>
                <w:rFonts w:hint="eastAsia" w:ascii="新宋体" w:hAnsi="新宋体" w:eastAsia="新宋体" w:cs="宋体"/>
                <w:kern w:val="0"/>
                <w:szCs w:val="21"/>
              </w:rPr>
              <w:t>④投标人的报价若比评标基准价低 30%（含）以上的,则该报价得分为零。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1896" w:type="dxa"/>
            <w:vAlign w:val="center"/>
          </w:tcPr>
          <w:p>
            <w:pPr>
              <w:spacing w:line="441" w:lineRule="exact"/>
              <w:jc w:val="center"/>
              <w:rPr>
                <w:rFonts w:hint="eastAsia" w:ascii="宋体" w:hAnsi="宋体" w:eastAsiaTheme="minorEastAsia"/>
                <w:b/>
                <w:lang w:val="en-US" w:eastAsia="zh-CN"/>
              </w:rPr>
            </w:pPr>
            <w:r>
              <w:rPr>
                <w:rFonts w:hint="eastAsia" w:ascii="宋体" w:hAnsi="宋体"/>
                <w:b/>
                <w:lang w:val="en-US" w:eastAsia="zh-CN"/>
              </w:rPr>
              <w:t>3</w:t>
            </w:r>
          </w:p>
        </w:tc>
        <w:tc>
          <w:tcPr>
            <w:tcW w:w="1653" w:type="dxa"/>
            <w:vAlign w:val="center"/>
          </w:tcPr>
          <w:p>
            <w:pPr>
              <w:spacing w:line="441" w:lineRule="exact"/>
              <w:jc w:val="both"/>
              <w:rPr>
                <w:rFonts w:hint="eastAsia" w:ascii="宋体" w:hAnsi="宋体"/>
                <w:szCs w:val="21"/>
              </w:rPr>
            </w:pPr>
            <w:r>
              <w:rPr>
                <w:rFonts w:hint="eastAsia" w:ascii="宋体" w:hAnsi="宋体"/>
              </w:rPr>
              <w:t>设计报价</w:t>
            </w:r>
            <w:r>
              <w:rPr>
                <w:rFonts w:hint="eastAsia" w:ascii="宋体" w:hAnsi="宋体" w:cs="宋体"/>
                <w:kern w:val="0"/>
              </w:rPr>
              <w:t>得分</w:t>
            </w:r>
          </w:p>
        </w:tc>
        <w:tc>
          <w:tcPr>
            <w:tcW w:w="6171"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szCs w:val="21"/>
              </w:rPr>
            </w:pPr>
            <w:r>
              <w:rPr>
                <w:rFonts w:ascii="宋体" w:hAnsi="宋体"/>
                <w:szCs w:val="21"/>
              </w:rPr>
              <w:t>报价评分按投标报价与评标基准价进行比较，计算出高于或低于评标基准价的百分数后，按下列规则进行打分：投标人报价等于评标基准价时得满分</w:t>
            </w:r>
            <w:r>
              <w:rPr>
                <w:rFonts w:hint="eastAsia" w:ascii="宋体" w:hAnsi="宋体"/>
                <w:szCs w:val="21"/>
                <w:lang w:val="en-US" w:eastAsia="zh-CN"/>
              </w:rPr>
              <w:t>100</w:t>
            </w:r>
            <w:r>
              <w:rPr>
                <w:rFonts w:ascii="宋体" w:hAnsi="宋体"/>
                <w:szCs w:val="21"/>
              </w:rPr>
              <w:t>分，在此基数上，投标人的报价与评标基准价相比，每</w:t>
            </w:r>
            <w:r>
              <w:rPr>
                <w:rFonts w:hint="eastAsia" w:ascii="宋体" w:hAnsi="宋体"/>
                <w:szCs w:val="21"/>
              </w:rPr>
              <w:t>增加</w:t>
            </w:r>
            <w:r>
              <w:rPr>
                <w:rFonts w:ascii="宋体" w:hAnsi="宋体"/>
                <w:szCs w:val="21"/>
              </w:rPr>
              <w:t>1％扣</w:t>
            </w:r>
            <w:r>
              <w:rPr>
                <w:rFonts w:hint="eastAsia" w:ascii="宋体" w:hAnsi="宋体"/>
                <w:szCs w:val="21"/>
                <w:lang w:val="en-US" w:eastAsia="zh-CN"/>
              </w:rPr>
              <w:t>4</w:t>
            </w:r>
            <w:r>
              <w:rPr>
                <w:rFonts w:ascii="宋体" w:hAnsi="宋体"/>
                <w:szCs w:val="21"/>
              </w:rPr>
              <w:t>分，每</w:t>
            </w:r>
            <w:r>
              <w:rPr>
                <w:rFonts w:hint="eastAsia" w:ascii="宋体" w:hAnsi="宋体"/>
                <w:szCs w:val="21"/>
              </w:rPr>
              <w:t>减少</w:t>
            </w:r>
            <w:r>
              <w:rPr>
                <w:rFonts w:ascii="宋体" w:hAnsi="宋体"/>
                <w:szCs w:val="21"/>
              </w:rPr>
              <w:t>1％扣</w:t>
            </w:r>
            <w:r>
              <w:rPr>
                <w:rFonts w:hint="eastAsia" w:ascii="宋体" w:hAnsi="宋体"/>
                <w:szCs w:val="21"/>
                <w:lang w:val="en-US" w:eastAsia="zh-CN"/>
              </w:rPr>
              <w:t>2</w:t>
            </w:r>
            <w:r>
              <w:rPr>
                <w:rFonts w:ascii="宋体" w:hAnsi="宋体"/>
                <w:szCs w:val="21"/>
              </w:rPr>
              <w:t>分，按比例计算扣完为止</w:t>
            </w:r>
            <w:r>
              <w:rPr>
                <w:rFonts w:hint="eastAsia" w:ascii="宋体" w:hAnsi="宋体"/>
                <w:szCs w:val="21"/>
              </w:rPr>
              <w:t>，以上计算取小数点后两位，第三位四舍五入。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地  址：重庆市巴南区南彭公路物流基地环道路东路6号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联系人：张女士</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  话：18696529013</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720" w:firstLineChars="2400"/>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720" w:firstLineChars="24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2019年6月26</w:t>
      </w:r>
      <w:bookmarkStart w:id="1" w:name="_GoBack"/>
      <w:bookmarkEnd w:id="1"/>
      <w:r>
        <w:rPr>
          <w:rFonts w:hint="eastAsia" w:ascii="仿宋_GB2312" w:hAnsi="仿宋_GB2312" w:eastAsia="仿宋_GB2312" w:cs="仿宋_GB2312"/>
          <w:sz w:val="28"/>
          <w:szCs w:val="28"/>
          <w:lang w:val="en-US" w:eastAsia="zh-CN"/>
        </w:rPr>
        <w:t>日</w:t>
      </w:r>
    </w:p>
    <w:p>
      <w:pPr>
        <w:tabs>
          <w:tab w:val="left" w:pos="1680"/>
          <w:tab w:val="left" w:pos="4215"/>
          <w:tab w:val="left" w:pos="4305"/>
          <w:tab w:val="left" w:pos="8000"/>
        </w:tabs>
        <w:autoSpaceDE w:val="0"/>
        <w:autoSpaceDN w:val="0"/>
        <w:adjustRightInd w:val="0"/>
        <w:snapToGrid w:val="0"/>
        <w:spacing w:line="360" w:lineRule="auto"/>
        <w:rPr>
          <w:rFonts w:hint="eastAsia" w:ascii="方正黑体_GBK" w:hAnsi="方正黑体_GBK" w:eastAsia="方正黑体_GBK" w:cs="方正黑体_GBK"/>
          <w:b w:val="0"/>
          <w:bCs/>
          <w:sz w:val="32"/>
          <w:szCs w:val="32"/>
        </w:rPr>
      </w:pPr>
    </w:p>
    <w:p>
      <w:pPr>
        <w:tabs>
          <w:tab w:val="left" w:pos="1680"/>
          <w:tab w:val="left" w:pos="4215"/>
          <w:tab w:val="left" w:pos="4305"/>
          <w:tab w:val="left" w:pos="8000"/>
        </w:tabs>
        <w:autoSpaceDE w:val="0"/>
        <w:autoSpaceDN w:val="0"/>
        <w:adjustRightInd w:val="0"/>
        <w:snapToGrid w:val="0"/>
        <w:spacing w:line="360" w:lineRule="auto"/>
        <w:rPr>
          <w:rFonts w:hint="eastAsia" w:ascii="方正黑体_GBK" w:hAnsi="方正黑体_GBK" w:eastAsia="方正黑体_GBK" w:cs="方正黑体_GBK"/>
          <w:b w:val="0"/>
          <w:bCs/>
          <w:sz w:val="32"/>
          <w:szCs w:val="32"/>
        </w:rPr>
      </w:pPr>
    </w:p>
    <w:p>
      <w:pPr>
        <w:tabs>
          <w:tab w:val="left" w:pos="1680"/>
          <w:tab w:val="left" w:pos="4215"/>
          <w:tab w:val="left" w:pos="4305"/>
          <w:tab w:val="left" w:pos="8000"/>
        </w:tabs>
        <w:autoSpaceDE w:val="0"/>
        <w:autoSpaceDN w:val="0"/>
        <w:adjustRightInd w:val="0"/>
        <w:snapToGrid w:val="0"/>
        <w:spacing w:line="360" w:lineRule="auto"/>
        <w:rPr>
          <w:rFonts w:hint="eastAsia" w:ascii="方正黑体_GBK" w:hAnsi="方正黑体_GBK" w:eastAsia="方正黑体_GBK" w:cs="方正黑体_GBK"/>
          <w:b w:val="0"/>
          <w:bCs/>
          <w:sz w:val="32"/>
          <w:szCs w:val="32"/>
        </w:rPr>
      </w:pPr>
    </w:p>
    <w:p>
      <w:pPr>
        <w:tabs>
          <w:tab w:val="left" w:pos="1680"/>
          <w:tab w:val="left" w:pos="4215"/>
          <w:tab w:val="left" w:pos="4305"/>
          <w:tab w:val="left" w:pos="8000"/>
        </w:tabs>
        <w:autoSpaceDE w:val="0"/>
        <w:autoSpaceDN w:val="0"/>
        <w:adjustRightInd w:val="0"/>
        <w:snapToGrid w:val="0"/>
        <w:spacing w:line="360" w:lineRule="auto"/>
        <w:rPr>
          <w:rFonts w:hint="eastAsia" w:ascii="方正黑体_GBK" w:hAnsi="方正黑体_GBK" w:eastAsia="方正黑体_GBK" w:cs="方正黑体_GBK"/>
          <w:b w:val="0"/>
          <w:bCs/>
          <w:sz w:val="32"/>
          <w:szCs w:val="32"/>
        </w:rPr>
      </w:pPr>
    </w:p>
    <w:p>
      <w:pPr>
        <w:tabs>
          <w:tab w:val="left" w:pos="1680"/>
          <w:tab w:val="left" w:pos="4215"/>
          <w:tab w:val="left" w:pos="4305"/>
          <w:tab w:val="left" w:pos="8000"/>
        </w:tabs>
        <w:autoSpaceDE w:val="0"/>
        <w:autoSpaceDN w:val="0"/>
        <w:adjustRightInd w:val="0"/>
        <w:snapToGrid w:val="0"/>
        <w:spacing w:line="360" w:lineRule="auto"/>
        <w:rPr>
          <w:rFonts w:hint="eastAsia" w:ascii="方正黑体_GBK" w:hAnsi="方正黑体_GBK" w:eastAsia="方正黑体_GBK" w:cs="方正黑体_GBK"/>
          <w:b w:val="0"/>
          <w:bCs/>
          <w:sz w:val="32"/>
          <w:szCs w:val="32"/>
        </w:rPr>
      </w:pPr>
    </w:p>
    <w:p>
      <w:pPr>
        <w:tabs>
          <w:tab w:val="left" w:pos="1680"/>
          <w:tab w:val="left" w:pos="4215"/>
          <w:tab w:val="left" w:pos="4305"/>
          <w:tab w:val="left" w:pos="8000"/>
        </w:tabs>
        <w:autoSpaceDE w:val="0"/>
        <w:autoSpaceDN w:val="0"/>
        <w:adjustRightInd w:val="0"/>
        <w:snapToGrid w:val="0"/>
        <w:spacing w:line="360" w:lineRule="auto"/>
        <w:rPr>
          <w:rFonts w:hint="eastAsia" w:ascii="方正黑体_GBK" w:hAnsi="方正黑体_GBK" w:eastAsia="方正黑体_GBK" w:cs="方正黑体_GBK"/>
          <w:b w:val="0"/>
          <w:bCs/>
          <w:sz w:val="32"/>
          <w:szCs w:val="32"/>
        </w:rPr>
      </w:pPr>
    </w:p>
    <w:p>
      <w:pPr>
        <w:tabs>
          <w:tab w:val="left" w:pos="1680"/>
          <w:tab w:val="left" w:pos="4215"/>
          <w:tab w:val="left" w:pos="4305"/>
          <w:tab w:val="left" w:pos="8000"/>
        </w:tabs>
        <w:autoSpaceDE w:val="0"/>
        <w:autoSpaceDN w:val="0"/>
        <w:adjustRightInd w:val="0"/>
        <w:snapToGrid w:val="0"/>
        <w:spacing w:line="360" w:lineRule="auto"/>
        <w:rPr>
          <w:rFonts w:hint="eastAsia" w:ascii="方正小标宋_GBK" w:hAnsi="方正小标宋_GBK" w:eastAsia="方正小标宋_GBK" w:cs="方正小标宋_GBK"/>
          <w:b w:val="0"/>
          <w:bCs/>
          <w:sz w:val="44"/>
          <w:szCs w:val="44"/>
        </w:rPr>
      </w:pPr>
      <w:r>
        <w:rPr>
          <w:rFonts w:hint="eastAsia" w:ascii="方正黑体_GBK" w:hAnsi="方正黑体_GBK" w:eastAsia="方正黑体_GBK" w:cs="方正黑体_GBK"/>
          <w:b w:val="0"/>
          <w:bCs/>
          <w:sz w:val="32"/>
          <w:szCs w:val="32"/>
        </w:rPr>
        <w:t>附件格式</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ascii="宋体" w:hAnsi="宋体" w:cs="MingLiU"/>
          <w:sz w:val="20"/>
        </w:rPr>
      </w:pPr>
      <w:r>
        <w:rPr>
          <w:rFonts w:hint="eastAsia" w:ascii="方正小标宋_GBK" w:hAnsi="方正小标宋_GBK" w:eastAsia="方正小标宋_GBK" w:cs="方正小标宋_GBK"/>
          <w:b w:val="0"/>
          <w:bCs/>
          <w:sz w:val="44"/>
          <w:szCs w:val="44"/>
        </w:rPr>
        <w:t>授权委托书</w:t>
      </w:r>
    </w:p>
    <w:p>
      <w:pPr>
        <w:tabs>
          <w:tab w:val="left" w:pos="1680"/>
          <w:tab w:val="left" w:pos="4215"/>
          <w:tab w:val="left" w:pos="4305"/>
          <w:tab w:val="left" w:pos="8000"/>
        </w:tabs>
        <w:autoSpaceDE w:val="0"/>
        <w:autoSpaceDN w:val="0"/>
        <w:adjustRightInd w:val="0"/>
        <w:snapToGrid w:val="0"/>
        <w:spacing w:line="360" w:lineRule="auto"/>
        <w:jc w:val="both"/>
        <w:rPr>
          <w:rFonts w:hint="eastAsia" w:ascii="方正仿宋_GBK" w:hAnsi="方正仿宋_GBK" w:eastAsia="方正仿宋_GBK" w:cs="方正仿宋_GBK"/>
          <w:sz w:val="32"/>
          <w:szCs w:val="32"/>
        </w:rPr>
      </w:pPr>
      <w:r>
        <w:rPr>
          <w:rFonts w:hint="eastAsia" w:ascii="宋体" w:hAnsi="宋体" w:cs="MingLiU"/>
          <w:b/>
          <w:color w:val="FF0000"/>
          <w:kern w:val="0"/>
          <w:sz w:val="28"/>
          <w:szCs w:val="28"/>
        </w:rPr>
        <w:t>（注：</w:t>
      </w:r>
      <w:r>
        <w:rPr>
          <w:rFonts w:hint="eastAsia" w:ascii="宋体" w:hAnsi="宋体" w:cs="MingLiU"/>
          <w:b/>
          <w:color w:val="FF0000"/>
          <w:kern w:val="0"/>
          <w:sz w:val="28"/>
          <w:szCs w:val="28"/>
          <w:lang w:eastAsia="zh-CN"/>
        </w:rPr>
        <w:t>递交</w:t>
      </w:r>
      <w:r>
        <w:rPr>
          <w:rFonts w:hint="eastAsia" w:ascii="宋体" w:hAnsi="宋体" w:cs="MingLiU"/>
          <w:b/>
          <w:color w:val="FF0000"/>
          <w:kern w:val="0"/>
          <w:sz w:val="28"/>
          <w:szCs w:val="28"/>
        </w:rPr>
        <w:t>资格审查</w:t>
      </w:r>
      <w:r>
        <w:rPr>
          <w:rFonts w:hint="eastAsia" w:ascii="宋体" w:hAnsi="宋体" w:cs="MingLiU"/>
          <w:b/>
          <w:color w:val="FF0000"/>
          <w:kern w:val="0"/>
          <w:sz w:val="28"/>
          <w:szCs w:val="28"/>
          <w:lang w:eastAsia="zh-CN"/>
        </w:rPr>
        <w:t>资料和比选函时都需要</w:t>
      </w:r>
      <w:r>
        <w:rPr>
          <w:rFonts w:hint="eastAsia" w:ascii="宋体" w:hAnsi="宋体" w:cs="MingLiU"/>
          <w:b/>
          <w:color w:val="FF0000"/>
          <w:kern w:val="0"/>
          <w:sz w:val="28"/>
          <w:szCs w:val="28"/>
        </w:rPr>
        <w:t>。报送时请自行删除本括号内文字，谢谢</w:t>
      </w:r>
      <w:r>
        <w:rPr>
          <w:rFonts w:hint="eastAsia" w:ascii="宋体" w:hAnsi="宋体" w:cs="MingLiU"/>
          <w:b/>
          <w:kern w:val="0"/>
          <w:sz w:val="28"/>
          <w:szCs w:val="28"/>
        </w:rPr>
        <w:t>）</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（姓名）系</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
          <w:sz w:val="32"/>
          <w:szCs w:val="32"/>
        </w:rPr>
        <w:t>投</w:t>
      </w:r>
      <w:r>
        <w:rPr>
          <w:rFonts w:hint="eastAsia" w:ascii="方正仿宋_GBK" w:hAnsi="方正仿宋_GBK" w:eastAsia="方正仿宋_GBK" w:cs="方正仿宋_GBK"/>
          <w:sz w:val="32"/>
          <w:szCs w:val="32"/>
        </w:rPr>
        <w:t>标人名称</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z w:val="32"/>
          <w:szCs w:val="32"/>
        </w:rPr>
        <w:t>的法定代</w:t>
      </w:r>
      <w:r>
        <w:rPr>
          <w:rFonts w:hint="eastAsia" w:ascii="方正仿宋_GBK" w:hAnsi="方正仿宋_GBK" w:eastAsia="方正仿宋_GBK" w:cs="方正仿宋_GBK"/>
          <w:spacing w:val="1"/>
          <w:sz w:val="32"/>
          <w:szCs w:val="32"/>
        </w:rPr>
        <w:t>表</w:t>
      </w:r>
      <w:r>
        <w:rPr>
          <w:rFonts w:hint="eastAsia" w:ascii="方正仿宋_GBK" w:hAnsi="方正仿宋_GBK" w:eastAsia="方正仿宋_GBK" w:cs="方正仿宋_GBK"/>
          <w:sz w:val="32"/>
          <w:szCs w:val="32"/>
        </w:rPr>
        <w:t>人，现委托</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（姓 名）为我方代理人。代理人根据授权，以我方名义签署、澄清、说明、补正、递交、撤回、 修改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项目资格审查材料、比选函、签订合同和处理有关事宜， 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w:t>
      </w:r>
      <w:r>
        <w:rPr>
          <w:rFonts w:hint="eastAsia" w:ascii="方正仿宋_GBK" w:hAnsi="方正仿宋_GBK" w:eastAsia="方正仿宋_GBK" w:cs="方正仿宋_GBK"/>
          <w:spacing w:val="-1"/>
          <w:sz w:val="32"/>
          <w:szCs w:val="32"/>
        </w:rPr>
        <w:t>期</w:t>
      </w:r>
      <w:r>
        <w:rPr>
          <w:rFonts w:hint="eastAsia" w:ascii="方正仿宋_GBK" w:hAnsi="方正仿宋_GBK" w:eastAsia="方正仿宋_GBK" w:cs="方正仿宋_GBK"/>
          <w:sz w:val="32"/>
          <w:szCs w:val="32"/>
        </w:rPr>
        <w:t>限：</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240" w:lineRule="auto"/>
        <w:ind w:firstLine="1694"/>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  标  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
          <w:sz w:val="32"/>
          <w:szCs w:val="32"/>
        </w:rPr>
        <w:t>盖</w:t>
      </w:r>
      <w:r>
        <w:rPr>
          <w:rFonts w:hint="eastAsia" w:ascii="方正仿宋_GBK" w:hAnsi="方正仿宋_GBK" w:eastAsia="方正仿宋_GBK" w:cs="方正仿宋_GBK"/>
          <w:sz w:val="32"/>
          <w:szCs w:val="32"/>
        </w:rPr>
        <w:t>单位章）</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（签字或盖章）</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（签</w:t>
      </w:r>
      <w:r>
        <w:rPr>
          <w:rFonts w:hint="eastAsia" w:ascii="方正仿宋_GBK" w:hAnsi="方正仿宋_GBK" w:eastAsia="方正仿宋_GBK" w:cs="方正仿宋_GBK"/>
          <w:spacing w:val="-1"/>
          <w:sz w:val="32"/>
          <w:szCs w:val="32"/>
        </w:rPr>
        <w:t>字</w:t>
      </w:r>
      <w:r>
        <w:rPr>
          <w:rFonts w:hint="eastAsia" w:ascii="方正仿宋_GBK" w:hAnsi="方正仿宋_GBK" w:eastAsia="方正仿宋_GBK" w:cs="方正仿宋_GBK"/>
          <w:sz w:val="32"/>
          <w:szCs w:val="32"/>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身份证号码</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240" w:lineRule="auto"/>
        <w:ind w:firstLine="3780"/>
        <w:jc w:val="left"/>
        <w:textAlignment w:val="auto"/>
        <w:outlineLvl w:val="9"/>
        <w:rPr>
          <w:rFonts w:hint="eastAsia" w:ascii="方正仿宋_GBK" w:hAnsi="方正仿宋_GBK" w:eastAsia="方正仿宋_GBK" w:cs="方正仿宋_GBK"/>
          <w:w w:val="200"/>
          <w:sz w:val="32"/>
          <w:szCs w:val="32"/>
          <w:u w:val="single"/>
        </w:rPr>
      </w:pP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240" w:lineRule="auto"/>
        <w:ind w:left="0" w:firstLine="5760" w:firstLineChars="9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日</w:t>
      </w:r>
    </w:p>
    <w:p>
      <w:pPr>
        <w:pStyle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kern w:val="2"/>
          <w:sz w:val="32"/>
          <w:szCs w:val="32"/>
          <w:lang w:val="en-US" w:eastAsia="zh-CN" w:bidi="ar-SA"/>
        </w:rPr>
        <w:t>（附：法定代表人及委托代理人身份证）</w:t>
      </w:r>
    </w:p>
    <w:p>
      <w:pPr>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color w:val="FF0000"/>
          <w:sz w:val="32"/>
          <w:szCs w:val="32"/>
        </w:rPr>
        <w:t>注：</w:t>
      </w:r>
      <w:r>
        <w:rPr>
          <w:rFonts w:hint="eastAsia" w:ascii="方正仿宋_GBK" w:hAnsi="方正仿宋_GBK" w:eastAsia="方正仿宋_GBK" w:cs="方正仿宋_GBK"/>
          <w:color w:val="FF0000"/>
          <w:sz w:val="32"/>
          <w:szCs w:val="32"/>
          <w:lang w:val="en-US" w:eastAsia="zh-CN"/>
        </w:rPr>
        <w:t>授权代表人须</w:t>
      </w:r>
      <w:r>
        <w:rPr>
          <w:rFonts w:hint="eastAsia" w:ascii="方正仿宋_GBK" w:hAnsi="方正仿宋_GBK" w:eastAsia="方正仿宋_GBK" w:cs="方正仿宋_GBK"/>
          <w:color w:val="FF0000"/>
          <w:sz w:val="32"/>
          <w:szCs w:val="32"/>
        </w:rPr>
        <w:t>提供2018年</w:t>
      </w:r>
      <w:r>
        <w:rPr>
          <w:rFonts w:hint="eastAsia" w:ascii="方正仿宋_GBK" w:hAnsi="方正仿宋_GBK" w:eastAsia="方正仿宋_GBK" w:cs="方正仿宋_GBK"/>
          <w:color w:val="FF0000"/>
          <w:sz w:val="32"/>
          <w:szCs w:val="32"/>
          <w:lang w:val="en-US" w:eastAsia="zh-CN"/>
        </w:rPr>
        <w:t>10</w:t>
      </w:r>
      <w:r>
        <w:rPr>
          <w:rFonts w:hint="eastAsia" w:ascii="方正仿宋_GBK" w:hAnsi="方正仿宋_GBK" w:eastAsia="方正仿宋_GBK" w:cs="方正仿宋_GBK"/>
          <w:color w:val="FF0000"/>
          <w:sz w:val="32"/>
          <w:szCs w:val="32"/>
        </w:rPr>
        <w:t>月至201</w:t>
      </w:r>
      <w:r>
        <w:rPr>
          <w:rFonts w:hint="eastAsia" w:ascii="方正仿宋_GBK" w:hAnsi="方正仿宋_GBK" w:eastAsia="方正仿宋_GBK" w:cs="方正仿宋_GBK"/>
          <w:color w:val="FF0000"/>
          <w:sz w:val="32"/>
          <w:szCs w:val="32"/>
          <w:lang w:val="en-US" w:eastAsia="zh-CN"/>
        </w:rPr>
        <w:t>9</w:t>
      </w:r>
      <w:r>
        <w:rPr>
          <w:rFonts w:hint="eastAsia" w:ascii="方正仿宋_GBK" w:hAnsi="方正仿宋_GBK" w:eastAsia="方正仿宋_GBK" w:cs="方正仿宋_GBK"/>
          <w:color w:val="FF0000"/>
          <w:sz w:val="32"/>
          <w:szCs w:val="32"/>
        </w:rPr>
        <w:t>年</w:t>
      </w:r>
      <w:r>
        <w:rPr>
          <w:rFonts w:hint="eastAsia" w:ascii="方正仿宋_GBK" w:hAnsi="方正仿宋_GBK" w:eastAsia="方正仿宋_GBK" w:cs="方正仿宋_GBK"/>
          <w:color w:val="FF0000"/>
          <w:sz w:val="32"/>
          <w:szCs w:val="32"/>
          <w:lang w:val="en-US" w:eastAsia="zh-CN"/>
        </w:rPr>
        <w:t>3</w:t>
      </w:r>
      <w:r>
        <w:rPr>
          <w:rFonts w:hint="eastAsia" w:ascii="方正仿宋_GBK" w:hAnsi="方正仿宋_GBK" w:eastAsia="方正仿宋_GBK" w:cs="方正仿宋_GBK"/>
          <w:color w:val="FF0000"/>
          <w:sz w:val="32"/>
          <w:szCs w:val="32"/>
        </w:rPr>
        <w:t>月的社保证明复印件加盖投标人鲜公章</w:t>
      </w:r>
      <w:r>
        <w:rPr>
          <w:rFonts w:hint="eastAsia" w:ascii="方正仿宋_GBK" w:hAnsi="方正仿宋_GBK" w:eastAsia="方正仿宋_GBK" w:cs="方正仿宋_GBK"/>
          <w:color w:val="FF0000"/>
          <w:sz w:val="32"/>
          <w:szCs w:val="32"/>
          <w:lang w:eastAsia="zh-CN"/>
        </w:rPr>
        <w:t>，</w:t>
      </w:r>
      <w:r>
        <w:rPr>
          <w:rFonts w:hint="eastAsia" w:ascii="方正仿宋_GBK" w:hAnsi="方正仿宋_GBK" w:eastAsia="方正仿宋_GBK" w:cs="方正仿宋_GBK"/>
          <w:color w:val="FF0000"/>
          <w:sz w:val="32"/>
          <w:szCs w:val="32"/>
        </w:rPr>
        <w:t>法定代表人参加投标活动并签署文件的不需要授权委托</w:t>
      </w:r>
      <w:r>
        <w:rPr>
          <w:rFonts w:hint="eastAsia" w:ascii="方正仿宋_GBK" w:hAnsi="方正仿宋_GBK" w:eastAsia="方正仿宋_GBK" w:cs="方正仿宋_GBK"/>
          <w:color w:val="FF0000"/>
          <w:sz w:val="32"/>
          <w:szCs w:val="32"/>
          <w:lang w:eastAsia="zh-CN"/>
        </w:rPr>
        <w:t>书</w:t>
      </w:r>
    </w:p>
    <w:p>
      <w:r>
        <w:rPr>
          <w:rFonts w:hint="eastAsia" w:ascii="方正仿宋_GBK" w:hAnsi="方正仿宋_GBK" w:eastAsia="方正仿宋_GBK" w:cs="方正仿宋_GBK"/>
          <w:color w:val="FF0000"/>
          <w:sz w:val="32"/>
          <w:szCs w:val="32"/>
          <w:lang w:val="en-US" w:eastAsia="zh-CN"/>
        </w:rPr>
        <w:t>其他格式</w:t>
      </w:r>
      <w:r>
        <w:rPr>
          <w:rFonts w:hint="eastAsia" w:ascii="方正仿宋_GBK" w:hAnsi="方正仿宋_GBK" w:eastAsia="方正仿宋_GBK" w:cs="方正仿宋_GBK"/>
          <w:color w:val="FF0000"/>
          <w:sz w:val="32"/>
          <w:szCs w:val="32"/>
        </w:rPr>
        <w:t>由投标人根据招标文件及相关资料自行编制。</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spacing w:line="700" w:lineRule="exact"/>
        <w:ind w:left="53" w:leftChars="25"/>
        <w:jc w:val="center"/>
        <w:rPr>
          <w:rFonts w:hint="eastAsia" w:ascii="仿宋_GB2312" w:hAnsi="仿宋_GB2312" w:eastAsia="仿宋_GB2312"/>
          <w:b/>
          <w:w w:val="98"/>
          <w:sz w:val="48"/>
          <w:szCs w:val="48"/>
        </w:rPr>
      </w:pPr>
      <w:r>
        <w:rPr>
          <w:rFonts w:hint="eastAsia" w:ascii="仿宋_GB2312" w:hAnsi="仿宋_GB2312" w:eastAsia="仿宋_GB2312"/>
          <w:b/>
          <w:w w:val="98"/>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资  格  审  查  材  料</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ind w:left="0"/>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二〇一*年**月**日</w:t>
      </w:r>
    </w:p>
    <w:p>
      <w:pPr>
        <w:tabs>
          <w:tab w:val="left" w:pos="1680"/>
          <w:tab w:val="left" w:pos="4215"/>
          <w:tab w:val="left" w:pos="4305"/>
          <w:tab w:val="left" w:pos="8000"/>
        </w:tabs>
        <w:autoSpaceDE w:val="0"/>
        <w:autoSpaceDN w:val="0"/>
        <w:adjustRightInd w:val="0"/>
        <w:snapToGrid w:val="0"/>
        <w:spacing w:line="360" w:lineRule="auto"/>
        <w:ind w:left="0"/>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宋体" w:hAnsi="宋体" w:cs="MingLiU"/>
          <w:b/>
          <w:sz w:val="28"/>
          <w:szCs w:val="28"/>
        </w:rPr>
        <w:t xml:space="preserve">                     </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宋体" w:hAnsi="宋体" w:cs="MingLiU"/>
          <w:b/>
          <w:sz w:val="28"/>
          <w:szCs w:val="28"/>
        </w:rPr>
        <w:t xml:space="preserve"> </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宋体" w:hAnsi="宋体" w:cs="MingLiU"/>
          <w:b/>
          <w:sz w:val="28"/>
          <w:szCs w:val="28"/>
        </w:rPr>
        <w:t>相关资格审查材料复印件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）市政行业（排水工程）专业甲级及以上资质。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（二）独立法人资格单位，有效的营业执照（须提供营业执照复印件加盖投标人鲜章）。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投标人需提供</w:t>
      </w:r>
      <w:r>
        <w:rPr>
          <w:rFonts w:hint="eastAsia" w:ascii="仿宋_GB2312" w:hAnsi="仿宋_GB2312" w:eastAsia="仿宋_GB2312" w:cs="仿宋_GB2312"/>
          <w:sz w:val="28"/>
          <w:szCs w:val="28"/>
          <w:lang w:val="en-US" w:eastAsia="zh-CN"/>
        </w:rPr>
        <w:t>2017年至今的一个及以上类似业绩的证明材料（须提供设计合同（或中标通知书）复印件或其他证明材料并加盖投标人鲜章）。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外地勘察设计企业投标：重庆市市外勘察设计企业参与本项目投标须按照渝建发[2017]19号文执行。《重庆市市外勘察设计企业入渝备案登记证》在有效期内，提供《重庆市市外勘察设计企业入渝备案登记证》复印件加盖投标企业鲜章；原《重庆市市外勘察设计企业入渝备案登记证》有效期已满或新入渝的市外勘察设计企业须按照渝建发[2017]19号文的要求办理入渝信息报送，提供“重庆市城乡建设委员会勘察设计行业综合信息平台”的信息截图（截图内容齐全，应包括网页表头及主要信息）并加盖投标企业鲜章，否则作废标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（五）以上资格审查材料提供复印件盖单位公章（原件备查）</w:t>
      </w:r>
    </w:p>
    <w:p>
      <w:pPr>
        <w:pStyle w:val="11"/>
        <w:pageBreakBefore w:val="0"/>
        <w:widowControl w:val="0"/>
        <w:kinsoku/>
        <w:wordWrap/>
        <w:overflowPunct/>
        <w:topLinePunct w:val="0"/>
        <w:autoSpaceDE/>
        <w:autoSpaceDN/>
        <w:bidi w:val="0"/>
        <w:snapToGrid/>
        <w:ind w:firstLine="420"/>
        <w:textAlignment w:val="auto"/>
        <w:rPr>
          <w:rFonts w:hint="eastAsia" w:ascii="仿宋_GB2312" w:hAnsi="仿宋_GB2312" w:eastAsia="仿宋_GB2312" w:cs="仿宋_GB2312"/>
          <w:snapToGrid/>
          <w:color w:val="FF0000"/>
          <w:kern w:val="2"/>
          <w:sz w:val="24"/>
          <w:szCs w:val="24"/>
          <w:lang w:val="en-US" w:eastAsia="zh-CN" w:bidi="ar-SA"/>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ascii="宋体" w:hAnsi="宋体" w:cs="MingLiU"/>
          <w:b/>
          <w:sz w:val="28"/>
          <w:szCs w:val="28"/>
        </w:rPr>
        <w:br w:type="page"/>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spacing w:line="700" w:lineRule="exact"/>
        <w:ind w:left="53" w:leftChars="25"/>
        <w:jc w:val="center"/>
        <w:rPr>
          <w:rFonts w:hint="eastAsia" w:ascii="仿宋_GB2312" w:hAnsi="仿宋_GB2312" w:eastAsia="仿宋_GB2312"/>
          <w:b/>
          <w:w w:val="98"/>
          <w:sz w:val="48"/>
          <w:szCs w:val="48"/>
        </w:rPr>
      </w:pPr>
      <w:r>
        <w:rPr>
          <w:rFonts w:hint="eastAsia" w:ascii="仿宋_GB2312" w:hAnsi="仿宋_GB2312" w:eastAsia="仿宋_GB2312"/>
          <w:b/>
          <w:w w:val="98"/>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30"/>
          <w:szCs w:val="3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比  选  函</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color w:val="FF0000"/>
          <w:kern w:val="0"/>
          <w:sz w:val="28"/>
          <w:szCs w:val="28"/>
        </w:rPr>
        <w:t>（注：只有通过资格审查的比选人需要下载并向我司报送比选函，未通过的比选人不用报送。报送时请自行删除本括号内文字，谢谢</w:t>
      </w:r>
      <w:r>
        <w:rPr>
          <w:rFonts w:hint="eastAsia" w:ascii="宋体" w:hAnsi="宋体" w:cs="MingLiU"/>
          <w:b/>
          <w:kern w:val="0"/>
          <w:sz w:val="28"/>
          <w:szCs w:val="28"/>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both"/>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both"/>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二〇一*年**月**日</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r>
        <w:rPr>
          <w:rFonts w:hint="eastAsia" w:ascii="方正小标宋_GBK" w:hAnsi="方正小标宋_GBK" w:eastAsia="方正小标宋_GBK" w:cs="方正小标宋_GBK"/>
          <w:b w:val="0"/>
          <w:bCs w:val="0"/>
          <w:snapToGrid w:val="0"/>
          <w:sz w:val="44"/>
          <w:szCs w:val="44"/>
        </w:rPr>
        <w:t>比选函</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tabs>
          <w:tab w:val="left" w:pos="2640"/>
        </w:tabs>
        <w:kinsoku/>
        <w:wordWrap/>
        <w:overflowPunct/>
        <w:topLinePunct w:val="0"/>
        <w:autoSpaceDE w:val="0"/>
        <w:autoSpaceDN w:val="0"/>
        <w:bidi w:val="0"/>
        <w:adjustRightInd w:val="0"/>
        <w:snapToGrid/>
        <w:spacing w:line="480" w:lineRule="exact"/>
        <w:ind w:left="120" w:right="-2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u w:val="single"/>
        </w:rPr>
        <w:t>重庆公路物流基地建设有限公司</w:t>
      </w:r>
      <w:r>
        <w:rPr>
          <w:rFonts w:hint="eastAsia" w:ascii="方正仿宋_GBK" w:hAnsi="方正仿宋_GBK" w:eastAsia="方正仿宋_GBK" w:cs="方正仿宋_GBK"/>
          <w:snapToGrid w:val="0"/>
          <w:sz w:val="28"/>
          <w:szCs w:val="28"/>
        </w:rPr>
        <w:t>：</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80" w:lineRule="exact"/>
        <w:ind w:left="0" w:leftChars="0" w:right="0" w:rightChars="0" w:firstLine="560" w:firstLineChars="200"/>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1．我方已仔细研究了</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（项目名称）项目，并自行踏勘现场了解了项目的全部内容，愿意以人民币总价（大写）</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元（¥</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）作为本次比选报价，该报价包括了完成该项目所需的人工、材料、管理、利润、风险、税金等</w:t>
      </w:r>
      <w:r>
        <w:rPr>
          <w:rFonts w:hint="eastAsia" w:ascii="方正仿宋_GBK" w:hAnsi="方正仿宋_GBK" w:eastAsia="方正仿宋_GBK" w:cs="方正仿宋_GBK"/>
          <w:sz w:val="28"/>
          <w:szCs w:val="28"/>
        </w:rPr>
        <w:t>所有主要、辅助工作费用</w:t>
      </w:r>
      <w:r>
        <w:rPr>
          <w:rFonts w:hint="eastAsia" w:ascii="方正仿宋_GBK" w:hAnsi="方正仿宋_GBK" w:eastAsia="方正仿宋_GBK" w:cs="方正仿宋_GBK"/>
          <w:snapToGrid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2．我方承诺在投标有效期内不修改、撤销投标文件。</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3．如我方中选：</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（1）我方承诺按贵司要求的期限内与你方签订合同。</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（3）我方承诺接受贵司相关管理办法及相应合同执行考核制度。</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4．我方在此声明，所递交的投标文件及有关资料内容完整、真实和准确。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5．我方在此承诺，若因贵司及其他原因取消本项目，我司自愿放弃该项目，并不追究双方经济及其他责任。</w:t>
      </w:r>
    </w:p>
    <w:p>
      <w:pPr>
        <w:keepNext w:val="0"/>
        <w:keepLines w:val="0"/>
        <w:pageBreakBefore w:val="0"/>
        <w:widowControl w:val="0"/>
        <w:tabs>
          <w:tab w:val="left" w:pos="4940"/>
        </w:tabs>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6．</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（其他补充说明）。</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right="210"/>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投  标  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 xml:space="preserve">（盖单位章）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法定代表人或其委托代理人：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 xml:space="preserve">（签字）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地址：</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网址：</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电话：</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传真：</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邮政编码：</w:t>
      </w:r>
      <w:r>
        <w:rPr>
          <w:rFonts w:hint="eastAsia" w:ascii="方正仿宋_GBK" w:hAnsi="方正仿宋_GBK" w:eastAsia="方正仿宋_GBK" w:cs="方正仿宋_GBK"/>
          <w:snapToGrid w:val="0"/>
          <w:w w:val="20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80" w:lineRule="exact"/>
        <w:ind w:left="0" w:leftChars="0" w:right="0" w:rightChars="0" w:firstLine="6160" w:firstLineChars="2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年</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rPr>
        <w:t>月</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rPr>
        <w:t>日</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590" w:right="1236" w:bottom="59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239E7"/>
    <w:rsid w:val="002348EA"/>
    <w:rsid w:val="007F5EA5"/>
    <w:rsid w:val="010D5E2B"/>
    <w:rsid w:val="011159E3"/>
    <w:rsid w:val="01873D00"/>
    <w:rsid w:val="0221225B"/>
    <w:rsid w:val="033633D4"/>
    <w:rsid w:val="037C1523"/>
    <w:rsid w:val="03813B24"/>
    <w:rsid w:val="03C07C1C"/>
    <w:rsid w:val="080C389E"/>
    <w:rsid w:val="08523290"/>
    <w:rsid w:val="09E967A6"/>
    <w:rsid w:val="0AE61475"/>
    <w:rsid w:val="0B04558D"/>
    <w:rsid w:val="0BD203F3"/>
    <w:rsid w:val="0BF126C1"/>
    <w:rsid w:val="0C7557F9"/>
    <w:rsid w:val="0EFE0F2A"/>
    <w:rsid w:val="100B5181"/>
    <w:rsid w:val="10294A7A"/>
    <w:rsid w:val="103A5FF1"/>
    <w:rsid w:val="10AD45E3"/>
    <w:rsid w:val="10B7010B"/>
    <w:rsid w:val="118C032A"/>
    <w:rsid w:val="12805819"/>
    <w:rsid w:val="12C9308C"/>
    <w:rsid w:val="12FE253D"/>
    <w:rsid w:val="15154738"/>
    <w:rsid w:val="160A0E79"/>
    <w:rsid w:val="16BA7867"/>
    <w:rsid w:val="184C374B"/>
    <w:rsid w:val="187E5F76"/>
    <w:rsid w:val="18F01A19"/>
    <w:rsid w:val="19D878E6"/>
    <w:rsid w:val="1A293EA2"/>
    <w:rsid w:val="1A370010"/>
    <w:rsid w:val="1A641A2D"/>
    <w:rsid w:val="1A686259"/>
    <w:rsid w:val="1CC42BD8"/>
    <w:rsid w:val="1D2F2942"/>
    <w:rsid w:val="1D5B6366"/>
    <w:rsid w:val="1D8A6C58"/>
    <w:rsid w:val="1E483EBC"/>
    <w:rsid w:val="202D0D14"/>
    <w:rsid w:val="210A47F4"/>
    <w:rsid w:val="215C3997"/>
    <w:rsid w:val="2355033F"/>
    <w:rsid w:val="245E5215"/>
    <w:rsid w:val="24651872"/>
    <w:rsid w:val="2485231A"/>
    <w:rsid w:val="24937D41"/>
    <w:rsid w:val="26872BD3"/>
    <w:rsid w:val="26A67F1B"/>
    <w:rsid w:val="27F20C26"/>
    <w:rsid w:val="28965AAE"/>
    <w:rsid w:val="2A2C1454"/>
    <w:rsid w:val="2AFA5C41"/>
    <w:rsid w:val="2B0B27EC"/>
    <w:rsid w:val="2BD320B7"/>
    <w:rsid w:val="2C846E2E"/>
    <w:rsid w:val="2C87740E"/>
    <w:rsid w:val="2D08535C"/>
    <w:rsid w:val="2D6656C8"/>
    <w:rsid w:val="2E3556EE"/>
    <w:rsid w:val="2E405D66"/>
    <w:rsid w:val="2E461916"/>
    <w:rsid w:val="2F666991"/>
    <w:rsid w:val="2FB04382"/>
    <w:rsid w:val="304C6543"/>
    <w:rsid w:val="309035A3"/>
    <w:rsid w:val="31E8193E"/>
    <w:rsid w:val="32881FFA"/>
    <w:rsid w:val="339E2FF1"/>
    <w:rsid w:val="3408251C"/>
    <w:rsid w:val="35820A5D"/>
    <w:rsid w:val="37F6700E"/>
    <w:rsid w:val="38F63B79"/>
    <w:rsid w:val="394239E7"/>
    <w:rsid w:val="39D15A2D"/>
    <w:rsid w:val="39F17152"/>
    <w:rsid w:val="3CE02A33"/>
    <w:rsid w:val="3E695CCE"/>
    <w:rsid w:val="3E85024A"/>
    <w:rsid w:val="3ED7207B"/>
    <w:rsid w:val="3F010592"/>
    <w:rsid w:val="3F561246"/>
    <w:rsid w:val="40C5348A"/>
    <w:rsid w:val="43A24BB6"/>
    <w:rsid w:val="43BF32C0"/>
    <w:rsid w:val="44475AEB"/>
    <w:rsid w:val="44A24200"/>
    <w:rsid w:val="475B0831"/>
    <w:rsid w:val="47851C9B"/>
    <w:rsid w:val="4973396B"/>
    <w:rsid w:val="49FE4756"/>
    <w:rsid w:val="4A26790D"/>
    <w:rsid w:val="4AE6213F"/>
    <w:rsid w:val="4B953586"/>
    <w:rsid w:val="4CD203C5"/>
    <w:rsid w:val="4DD517E1"/>
    <w:rsid w:val="4E524B00"/>
    <w:rsid w:val="4EC60E7A"/>
    <w:rsid w:val="4FD16FCA"/>
    <w:rsid w:val="511D1CFA"/>
    <w:rsid w:val="511E2E64"/>
    <w:rsid w:val="513B7A65"/>
    <w:rsid w:val="51C55993"/>
    <w:rsid w:val="5215792E"/>
    <w:rsid w:val="53A71AA4"/>
    <w:rsid w:val="53C102AD"/>
    <w:rsid w:val="53D02D71"/>
    <w:rsid w:val="544003A0"/>
    <w:rsid w:val="5470494F"/>
    <w:rsid w:val="54AD7541"/>
    <w:rsid w:val="55772F91"/>
    <w:rsid w:val="564531DC"/>
    <w:rsid w:val="56F048E6"/>
    <w:rsid w:val="582A448F"/>
    <w:rsid w:val="5A757EB7"/>
    <w:rsid w:val="5A8C0426"/>
    <w:rsid w:val="5B0B1D4D"/>
    <w:rsid w:val="5B1811D2"/>
    <w:rsid w:val="5BA13C14"/>
    <w:rsid w:val="5BCC4CDD"/>
    <w:rsid w:val="5E406E33"/>
    <w:rsid w:val="606127BE"/>
    <w:rsid w:val="60DF76E0"/>
    <w:rsid w:val="60F8277D"/>
    <w:rsid w:val="613D72A2"/>
    <w:rsid w:val="617520AB"/>
    <w:rsid w:val="61DE272B"/>
    <w:rsid w:val="637C475E"/>
    <w:rsid w:val="63B3231D"/>
    <w:rsid w:val="65032F30"/>
    <w:rsid w:val="653C1E16"/>
    <w:rsid w:val="65BF3BFD"/>
    <w:rsid w:val="66C04DA9"/>
    <w:rsid w:val="68D0752C"/>
    <w:rsid w:val="68F8355A"/>
    <w:rsid w:val="694F5643"/>
    <w:rsid w:val="69540A9C"/>
    <w:rsid w:val="695A5CB9"/>
    <w:rsid w:val="69907455"/>
    <w:rsid w:val="69AA3C62"/>
    <w:rsid w:val="69E84DDA"/>
    <w:rsid w:val="69EE0848"/>
    <w:rsid w:val="6A204095"/>
    <w:rsid w:val="6A2527EB"/>
    <w:rsid w:val="6A415A6B"/>
    <w:rsid w:val="6B3B25F4"/>
    <w:rsid w:val="6B9D0811"/>
    <w:rsid w:val="6BF333F4"/>
    <w:rsid w:val="6C7E37DA"/>
    <w:rsid w:val="6CF6523D"/>
    <w:rsid w:val="6D48195F"/>
    <w:rsid w:val="6DB52D02"/>
    <w:rsid w:val="6ED86FCE"/>
    <w:rsid w:val="6FD52085"/>
    <w:rsid w:val="71177597"/>
    <w:rsid w:val="71995909"/>
    <w:rsid w:val="71C735E0"/>
    <w:rsid w:val="71D80420"/>
    <w:rsid w:val="737B3EEF"/>
    <w:rsid w:val="745C5249"/>
    <w:rsid w:val="749B6FA3"/>
    <w:rsid w:val="75713358"/>
    <w:rsid w:val="75D44087"/>
    <w:rsid w:val="76AE5BE9"/>
    <w:rsid w:val="77FD06C2"/>
    <w:rsid w:val="7A47684A"/>
    <w:rsid w:val="7B207C5B"/>
    <w:rsid w:val="7B590656"/>
    <w:rsid w:val="7BC27A53"/>
    <w:rsid w:val="7C046C08"/>
    <w:rsid w:val="7C487A3D"/>
    <w:rsid w:val="7C990B52"/>
    <w:rsid w:val="7D061886"/>
    <w:rsid w:val="7DFA4D62"/>
    <w:rsid w:val="7E7444B5"/>
    <w:rsid w:val="7EBD02C8"/>
    <w:rsid w:val="7EC97B3B"/>
    <w:rsid w:val="7FF228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5">
    <w:name w:val="Default Paragraph Font"/>
    <w:link w:val="6"/>
    <w:semiHidden/>
    <w:qFormat/>
    <w:uiPriority w:val="0"/>
    <w:rPr>
      <w:rFonts w:ascii="宋体" w:hAnsi="宋体"/>
      <w:sz w:val="24"/>
      <w:szCs w:val="24"/>
      <w:lang w:eastAsia="en-US"/>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 Char Char Char"/>
    <w:basedOn w:val="1"/>
    <w:link w:val="5"/>
    <w:qFormat/>
    <w:uiPriority w:val="0"/>
    <w:pPr>
      <w:widowControl/>
      <w:spacing w:after="160" w:line="360" w:lineRule="auto"/>
      <w:ind w:left="0"/>
      <w:jc w:val="left"/>
    </w:pPr>
    <w:rPr>
      <w:rFonts w:ascii="宋体" w:hAnsi="宋体"/>
      <w:sz w:val="24"/>
      <w:szCs w:val="24"/>
      <w:lang w:eastAsia="en-US"/>
    </w:rPr>
  </w:style>
  <w:style w:type="character" w:styleId="7">
    <w:name w:val="page number"/>
    <w:basedOn w:val="5"/>
    <w:qFormat/>
    <w:uiPriority w:val="0"/>
  </w:style>
  <w:style w:type="character" w:styleId="8">
    <w:name w:val="Hyperlink"/>
    <w:basedOn w:val="5"/>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5号正文"/>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2017-05-04T08:59:00Z</dcterms:created>
  <dc:creator>Administrator</dc:creator>
  <cp:lastModifiedBy>Administrator</cp:lastModifiedBy>
  <cp:lastPrinted>2019-04-02T01:48:00Z</cp:lastPrinted>
  <dcterms:modified xsi:type="dcterms:W3CDTF">2019-06-26T07:36:05Z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