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ind w:firstLine="560" w:firstLineChars="200"/>
        <w:outlineLvl w:val="0"/>
        <w:rPr>
          <w:rFonts w:hint="eastAsia" w:ascii="仿宋_GB2312" w:hAnsi="宋体" w:eastAsia="仿宋_GB2312"/>
          <w:b/>
          <w:kern w:val="0"/>
          <w:sz w:val="28"/>
          <w:szCs w:val="28"/>
          <w:lang w:val="en-US" w:eastAsia="zh-CN"/>
        </w:rPr>
      </w:pPr>
      <w:r>
        <w:rPr>
          <w:rFonts w:hint="eastAsia" w:ascii="仿宋_GB2312" w:hAnsi="宋体" w:eastAsia="仿宋_GB2312"/>
          <w:b/>
          <w:kern w:val="0"/>
          <w:sz w:val="28"/>
          <w:szCs w:val="28"/>
        </w:rPr>
        <w:t>项目名称：</w:t>
      </w:r>
      <w:r>
        <w:rPr>
          <w:rFonts w:hint="eastAsia" w:ascii="仿宋_GB2312" w:hAnsi="宋体" w:eastAsia="仿宋_GB2312"/>
          <w:b/>
          <w:kern w:val="0"/>
          <w:sz w:val="28"/>
          <w:szCs w:val="28"/>
          <w:lang w:val="en-US" w:eastAsia="zh-CN"/>
        </w:rPr>
        <w:t>公路物流基地界公路K5+499-K5+947段改道</w:t>
      </w:r>
    </w:p>
    <w:p>
      <w:pPr>
        <w:snapToGrid w:val="0"/>
        <w:spacing w:line="560" w:lineRule="exact"/>
        <w:ind w:firstLine="1680" w:firstLineChars="600"/>
        <w:outlineLvl w:val="0"/>
        <w:rPr>
          <w:rFonts w:hint="eastAsia" w:ascii="仿宋_GB2312" w:hAnsi="宋体" w:eastAsia="仿宋_GB2312"/>
          <w:b/>
          <w:kern w:val="0"/>
          <w:sz w:val="28"/>
          <w:szCs w:val="28"/>
        </w:rPr>
      </w:pPr>
      <w:r>
        <w:rPr>
          <w:rFonts w:hint="eastAsia" w:ascii="仿宋_GB2312" w:hAnsi="宋体" w:eastAsia="仿宋_GB2312"/>
          <w:b/>
          <w:kern w:val="0"/>
          <w:sz w:val="28"/>
          <w:szCs w:val="28"/>
          <w:lang w:val="en-US" w:eastAsia="zh-CN"/>
        </w:rPr>
        <w:t>工程检测服务</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eastAsia="宋体" w:cs="MingLiU"/>
          <w:b/>
          <w:kern w:val="0"/>
          <w:sz w:val="84"/>
          <w:szCs w:val="84"/>
          <w:lang w:eastAsia="zh-CN"/>
        </w:rPr>
      </w:pPr>
      <w:r>
        <w:rPr>
          <w:rFonts w:hint="eastAsia" w:ascii="宋体" w:hAnsi="宋体" w:cs="MingLiU"/>
          <w:b/>
          <w:kern w:val="0"/>
          <w:sz w:val="84"/>
          <w:szCs w:val="84"/>
          <w:lang w:eastAsia="zh-CN"/>
        </w:rPr>
        <w:t>询价采购文件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2017-100</w:t>
      </w: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440"/>
        </w:tabs>
        <w:autoSpaceDE w:val="0"/>
        <w:autoSpaceDN w:val="0"/>
        <w:adjustRightInd w:val="0"/>
        <w:snapToGrid w:val="0"/>
        <w:spacing w:line="360" w:lineRule="auto"/>
        <w:jc w:val="left"/>
        <w:rPr>
          <w:rFonts w:hint="eastAsia" w:ascii="仿宋_GB2312" w:eastAsia="仿宋_GB2312" w:cs="MingLiU"/>
          <w:kern w:val="0"/>
          <w:sz w:val="24"/>
          <w:lang w:eastAsia="zh-CN"/>
        </w:rPr>
      </w:pPr>
      <w:r>
        <w:rPr>
          <w:rFonts w:hint="eastAsia" w:ascii="仿宋_GB2312" w:eastAsia="仿宋_GB2312" w:cs="MingLiU"/>
          <w:kern w:val="0"/>
          <w:sz w:val="24"/>
          <w:lang w:eastAsia="zh-CN"/>
        </w:rPr>
        <w:tab/>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2"/>
          <w:szCs w:val="22"/>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831" w:firstLineChars="3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宋体" w:hAnsi="宋体"/>
        </w:rPr>
      </w:pPr>
      <w:r>
        <w:rPr>
          <w:rFonts w:hint="eastAsia" w:ascii="宋体" w:hAnsi="宋体"/>
          <w:sz w:val="30"/>
          <w:lang w:val="en-US" w:eastAsia="zh-CN"/>
        </w:rPr>
        <w:t xml:space="preserve">                      </w:t>
      </w:r>
      <w:r>
        <w:rPr>
          <w:rFonts w:hint="eastAsia" w:ascii="宋体" w:hAnsi="宋体"/>
          <w:sz w:val="30"/>
        </w:rPr>
        <w:t>二○一七年</w:t>
      </w:r>
      <w:r>
        <w:rPr>
          <w:rFonts w:hint="eastAsia" w:ascii="宋体" w:hAnsi="宋体"/>
          <w:sz w:val="30"/>
          <w:lang w:eastAsia="zh-CN"/>
        </w:rPr>
        <w:t>十二</w:t>
      </w:r>
      <w:r>
        <w:rPr>
          <w:rFonts w:hint="eastAsia" w:ascii="宋体" w:hAnsi="宋体"/>
          <w:sz w:val="30"/>
        </w:rPr>
        <w:t>月</w:t>
      </w:r>
    </w:p>
    <w:p>
      <w:pPr>
        <w:snapToGrid w:val="0"/>
        <w:spacing w:line="560" w:lineRule="exact"/>
        <w:ind w:firstLine="640" w:firstLineChars="200"/>
        <w:outlineLvl w:val="0"/>
        <w:rPr>
          <w:rFonts w:hint="eastAsia" w:ascii="仿宋_GB2312" w:hAnsi="仿宋" w:eastAsia="仿宋_GB2312"/>
          <w:sz w:val="32"/>
          <w:szCs w:val="32"/>
          <w:lang w:val="en-US" w:eastAsia="zh-CN"/>
        </w:rPr>
      </w:pPr>
      <w:bookmarkStart w:id="0" w:name="_Toc200359427"/>
      <w:bookmarkStart w:id="1" w:name="_Toc363048556"/>
      <w:bookmarkStart w:id="2" w:name="_Toc200359238"/>
    </w:p>
    <w:p>
      <w:pPr>
        <w:autoSpaceDE w:val="0"/>
        <w:autoSpaceDN w:val="0"/>
        <w:adjustRightInd w:val="0"/>
        <w:snapToGrid w:val="0"/>
        <w:spacing w:line="360" w:lineRule="auto"/>
        <w:jc w:val="center"/>
        <w:rPr>
          <w:rFonts w:hint="eastAsia" w:ascii="仿宋_GB2312" w:hAnsi="宋体" w:eastAsia="仿宋_GB2312"/>
          <w:b/>
          <w:kern w:val="0"/>
          <w:sz w:val="44"/>
          <w:szCs w:val="44"/>
          <w:lang w:eastAsia="zh-CN"/>
        </w:rPr>
      </w:pPr>
      <w:bookmarkStart w:id="11" w:name="_GoBack"/>
      <w:r>
        <w:rPr>
          <w:rFonts w:hint="eastAsia" w:ascii="仿宋_GB2312" w:hAnsi="宋体" w:eastAsia="仿宋_GB2312"/>
          <w:b/>
          <w:kern w:val="0"/>
          <w:sz w:val="44"/>
          <w:szCs w:val="44"/>
          <w:lang w:eastAsia="zh-CN"/>
        </w:rPr>
        <w:t>询价采购公告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lang w:val="en-US" w:eastAsia="zh-CN"/>
        </w:rPr>
      </w:pPr>
      <w:r>
        <w:rPr>
          <w:rFonts w:hint="eastAsia" w:ascii="仿宋_GB2312" w:hAnsi="宋体" w:eastAsia="仿宋_GB2312" w:cs="MingLiU"/>
          <w:b/>
          <w:snapToGrid w:val="0"/>
          <w:w w:val="99"/>
          <w:kern w:val="0"/>
          <w:sz w:val="36"/>
          <w:szCs w:val="36"/>
          <w:lang w:val="en-US" w:eastAsia="zh-CN"/>
        </w:rPr>
        <w:t>公路物流基地界公路K5+499-K5+947段改道</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lang w:val="en-US" w:eastAsia="zh-CN"/>
        </w:rPr>
      </w:pPr>
      <w:r>
        <w:rPr>
          <w:rFonts w:hint="eastAsia" w:ascii="仿宋_GB2312" w:hAnsi="宋体" w:eastAsia="仿宋_GB2312" w:cs="MingLiU"/>
          <w:b/>
          <w:snapToGrid w:val="0"/>
          <w:w w:val="99"/>
          <w:kern w:val="0"/>
          <w:sz w:val="36"/>
          <w:szCs w:val="36"/>
          <w:lang w:val="en-US" w:eastAsia="zh-CN"/>
        </w:rPr>
        <w:t>工程检测服务</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7</w:t>
      </w:r>
      <w:r>
        <w:rPr>
          <w:rFonts w:hint="eastAsia" w:ascii="仿宋_GB2312" w:hAnsi="宋体" w:eastAsia="仿宋_GB2312" w:cs="MingLiU"/>
          <w:b/>
          <w:snapToGrid w:val="0"/>
          <w:w w:val="99"/>
          <w:kern w:val="0"/>
          <w:sz w:val="32"/>
          <w:szCs w:val="32"/>
        </w:rPr>
        <w:t>-</w:t>
      </w:r>
      <w:r>
        <w:rPr>
          <w:rFonts w:hint="eastAsia" w:ascii="仿宋_GB2312" w:hAnsi="宋体" w:eastAsia="仿宋_GB2312" w:cs="MingLiU"/>
          <w:b/>
          <w:snapToGrid w:val="0"/>
          <w:w w:val="99"/>
          <w:kern w:val="0"/>
          <w:sz w:val="32"/>
          <w:szCs w:val="32"/>
          <w:lang w:val="en-US" w:eastAsia="zh-CN"/>
        </w:rPr>
        <w:t>100</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snapToGrid w:val="0"/>
        <w:spacing w:line="560" w:lineRule="exact"/>
        <w:ind w:firstLine="640" w:firstLineChars="200"/>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sz w:val="32"/>
          <w:szCs w:val="32"/>
          <w:u w:val="single"/>
          <w:lang w:val="en-US" w:eastAsia="zh-CN"/>
        </w:rPr>
        <w:t>公路物流基地界公路K5+499-K5+947段改道</w:t>
      </w:r>
    </w:p>
    <w:p>
      <w:pPr>
        <w:snapToGrid w:val="0"/>
        <w:spacing w:line="560" w:lineRule="exact"/>
        <w:outlineLvl w:val="0"/>
        <w:rPr>
          <w:rFonts w:hint="eastAsia" w:ascii="仿宋_GB2312" w:hAnsi="仿宋" w:eastAsia="仿宋_GB2312"/>
          <w:sz w:val="32"/>
          <w:szCs w:val="32"/>
          <w:lang w:val="en-US" w:eastAsia="zh-CN"/>
        </w:rPr>
      </w:pPr>
      <w:r>
        <w:rPr>
          <w:rFonts w:hint="eastAsia" w:ascii="仿宋_GB2312" w:hAnsi="仿宋" w:eastAsia="仿宋_GB2312"/>
          <w:sz w:val="32"/>
          <w:szCs w:val="32"/>
          <w:u w:val="single"/>
          <w:lang w:val="en-US" w:eastAsia="zh-CN"/>
        </w:rPr>
        <w:t>工程检测服务</w:t>
      </w:r>
      <w:r>
        <w:rPr>
          <w:rFonts w:hint="eastAsia" w:ascii="仿宋_GB2312" w:hAnsi="仿宋" w:eastAsia="仿宋_GB2312"/>
          <w:sz w:val="32"/>
          <w:szCs w:val="32"/>
          <w:lang w:val="en-US" w:eastAsia="zh-CN"/>
        </w:rPr>
        <w:t xml:space="preserve">，业主为 </w:t>
      </w:r>
      <w:r>
        <w:rPr>
          <w:rFonts w:hint="eastAsia" w:ascii="仿宋_GB2312" w:hAnsi="仿宋" w:eastAsia="仿宋_GB2312"/>
          <w:sz w:val="32"/>
          <w:szCs w:val="32"/>
          <w:u w:val="single"/>
          <w:lang w:val="en-US" w:eastAsia="zh-CN"/>
        </w:rPr>
        <w:t xml:space="preserve">重庆公路物流基地建设有限公司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snapToGrid w:val="0"/>
        <w:spacing w:line="560" w:lineRule="exact"/>
        <w:ind w:firstLine="640" w:firstLineChars="200"/>
        <w:outlineLvl w:val="0"/>
        <w:rPr>
          <w:rFonts w:hint="eastAsia" w:ascii="仿宋_GB2312" w:hAnsi="仿宋" w:eastAsia="仿宋_GB2312"/>
          <w:sz w:val="32"/>
          <w:szCs w:val="32"/>
          <w:u w:val="single"/>
          <w:lang w:val="en-US" w:eastAsia="zh-CN"/>
        </w:rPr>
      </w:pPr>
      <w:bookmarkStart w:id="3" w:name="_Toc363048557"/>
      <w:bookmarkStart w:id="4" w:name="_Toc200359428"/>
      <w:bookmarkStart w:id="5" w:name="_Toc200359239"/>
      <w:r>
        <w:rPr>
          <w:rFonts w:hint="eastAsia" w:ascii="仿宋_GB2312" w:hAnsi="仿宋" w:eastAsia="仿宋_GB2312"/>
          <w:sz w:val="32"/>
          <w:szCs w:val="32"/>
          <w:lang w:val="en-US" w:eastAsia="zh-CN"/>
        </w:rPr>
        <w:t>询价采购范围</w:t>
      </w:r>
      <w:bookmarkEnd w:id="3"/>
      <w:bookmarkEnd w:id="4"/>
      <w:bookmarkEnd w:id="5"/>
      <w:r>
        <w:rPr>
          <w:rFonts w:hint="eastAsia" w:ascii="仿宋_GB2312" w:hAnsi="仿宋" w:eastAsia="仿宋_GB2312"/>
          <w:sz w:val="32"/>
          <w:szCs w:val="32"/>
          <w:lang w:val="en-US" w:eastAsia="zh-CN"/>
        </w:rPr>
        <w:t>：</w:t>
      </w:r>
      <w:r>
        <w:rPr>
          <w:rFonts w:hint="eastAsia" w:ascii="仿宋_GB2312" w:hAnsi="仿宋" w:eastAsia="仿宋_GB2312"/>
          <w:sz w:val="32"/>
          <w:szCs w:val="32"/>
          <w:u w:val="single"/>
          <w:lang w:val="en-US" w:eastAsia="zh-CN"/>
        </w:rPr>
        <w:t>公路物流基地界公路K5+499-K5+947段改道</w:t>
      </w:r>
    </w:p>
    <w:p>
      <w:pPr>
        <w:numPr>
          <w:ilvl w:val="0"/>
          <w:numId w:val="0"/>
        </w:numPr>
        <w:snapToGrid w:val="0"/>
        <w:spacing w:line="560" w:lineRule="exact"/>
        <w:outlineLvl w:val="0"/>
        <w:rPr>
          <w:rFonts w:hint="eastAsia" w:ascii="新宋体" w:hAnsi="新宋体" w:eastAsia="新宋体" w:cs="仿宋_GB2312"/>
          <w:snapToGrid w:val="0"/>
          <w:kern w:val="0"/>
          <w:sz w:val="28"/>
          <w:szCs w:val="28"/>
          <w:u w:val="single"/>
          <w:lang w:val="en-US" w:eastAsia="zh-CN"/>
        </w:rPr>
      </w:pPr>
      <w:r>
        <w:rPr>
          <w:rFonts w:hint="eastAsia" w:ascii="仿宋_GB2312" w:hAnsi="仿宋" w:eastAsia="仿宋_GB2312"/>
          <w:sz w:val="32"/>
          <w:szCs w:val="32"/>
          <w:u w:val="single"/>
          <w:lang w:val="en-US" w:eastAsia="zh-CN"/>
        </w:rPr>
        <w:t>工程检测服务</w:t>
      </w:r>
    </w:p>
    <w:p>
      <w:pPr>
        <w:numPr>
          <w:ilvl w:val="0"/>
          <w:numId w:val="1"/>
        </w:numPr>
        <w:snapToGrid w:val="0"/>
        <w:spacing w:line="560" w:lineRule="exact"/>
        <w:outlineLvl w:val="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最高限价：</w:t>
      </w:r>
      <w:r>
        <w:rPr>
          <w:rFonts w:hint="eastAsia" w:ascii="仿宋_GB2312" w:hAnsi="仿宋" w:eastAsia="仿宋_GB2312"/>
          <w:sz w:val="32"/>
          <w:szCs w:val="32"/>
          <w:lang w:val="en-US" w:eastAsia="zh-CN"/>
        </w:rPr>
        <w:t>本次招标最高限价为</w:t>
      </w:r>
      <w:r>
        <w:rPr>
          <w:rFonts w:hint="eastAsia" w:ascii="仿宋_GB2312" w:hAnsi="仿宋" w:eastAsia="仿宋_GB2312"/>
          <w:sz w:val="32"/>
          <w:szCs w:val="32"/>
          <w:u w:val="single"/>
          <w:lang w:val="en-US" w:eastAsia="zh-CN"/>
        </w:rPr>
        <w:t>12000.00元</w:t>
      </w:r>
      <w:r>
        <w:rPr>
          <w:rFonts w:hint="eastAsia" w:ascii="仿宋_GB2312" w:hAnsi="仿宋" w:eastAsia="仿宋_GB2312"/>
          <w:sz w:val="32"/>
          <w:szCs w:val="32"/>
          <w:lang w:val="en-US" w:eastAsia="zh-CN"/>
        </w:rPr>
        <w:t>（本费用是指完成本工程实施及竣工验收所需的一切检测费用，其中包括且不限于路基检测、路面检测、交通安全设施检测等。检测内容达到招标人及相关行政主管部门要求），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keepNext w:val="0"/>
        <w:keepLines w:val="0"/>
        <w:widowControl/>
        <w:suppressLineNumbers w:val="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本工程招标不需报名，开标时直接投标。凡有意参加投标者，请于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03</w:t>
      </w:r>
      <w:r>
        <w:rPr>
          <w:rFonts w:hint="eastAsia" w:ascii="仿宋_GB2312" w:hAnsi="仿宋" w:eastAsia="仿宋_GB2312"/>
          <w:sz w:val="32"/>
          <w:szCs w:val="32"/>
          <w:lang w:val="en-US" w:eastAsia="zh-CN"/>
        </w:rPr>
        <w:t xml:space="preserve">日起登录“重庆市巴南区公共资源交易网（www.cqbnggzyjy.com </w:t>
      </w:r>
      <w:r>
        <w:rPr>
          <w:rFonts w:hint="eastAsia" w:ascii="仿宋_GB2312" w:hAnsi="仿宋" w:eastAsia="仿宋_GB2312"/>
          <w:sz w:val="32"/>
          <w:szCs w:val="32"/>
          <w:lang w:val="en-US" w:eastAsia="zh-CN"/>
        </w:rPr>
        <w:t>）”查看公告，下载本项目的招标文件、图纸、答疑补遗等资料。不管下载与否都视为潜在投标人全部知晓有关招投标过程和全部内容。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本招标公告开始发布至投标截止时间止，各投标人应随时关注“重庆市巴南区公共资源交易网（www.cqbnggzyjy.com ）”上关于本招标项目相关修改或补充内容。不论投标人下载与否，招标人都视为投标人收到以上资料并全部知晓有关招标过程和事宜，由此产生的一切后果由投标人自负。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投标文件递交时间和地点</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05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08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05 </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6" w:name="_Toc429214643"/>
      <w:bookmarkStart w:id="7" w:name="_Toc416767730"/>
      <w:bookmarkStart w:id="8" w:name="_Toc21661"/>
      <w:bookmarkStart w:id="9"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“重庆市巴南区公共资源交易网（www.cqbnggzyjy.com ）”和重庆公路物流基地官方网站上发布。</w:t>
      </w:r>
      <w:bookmarkEnd w:id="6"/>
      <w:bookmarkEnd w:id="7"/>
      <w:bookmarkEnd w:id="8"/>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9"/>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  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bookmarkEnd w:id="11"/>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200.00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7.4.1中标公示发出后10日后，退还投标人的投标保证金（投标人须自行开具相关收据并携带打印好的基本开户许可证交于招标人处）；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7.4.2合同签订完成后，退还中标候选人及中标人的投标保证金（投标人须自行开具相关收据并携带打印好的基本开户许可证交于招标人处）。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1、营业执照</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竞标人须是在中国境内注册并具有独立法人资质的合法企业，并提供合法有效的工商营业执照（经营范围为生产或经营销售与采购项目相关）。</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2、业绩要求</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投标人需提供2016年1月以来的2个及以上城市道路检测项目证明材料（提供合同复印件并加盖公章））</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资质条件</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投标单位需取得重庆市建设工程质量检测机构资格证书的单位（检测类别：路基检测、路面检测、交通安全设施检测等）。</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10.采购服务要求</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rPr>
        <w:t xml:space="preserve"> </w:t>
      </w:r>
      <w:r>
        <w:rPr>
          <w:rFonts w:hint="eastAsia" w:ascii="仿宋_GB2312" w:hAnsi="仿宋" w:eastAsia="仿宋_GB2312" w:cs="Times New Roman"/>
          <w:kern w:val="2"/>
          <w:sz w:val="32"/>
          <w:szCs w:val="32"/>
          <w:lang w:val="en-US" w:eastAsia="zh-CN" w:bidi="ar-SA"/>
        </w:rPr>
        <w:t>1.供应商必须严格按照采购项目规格参数要求投报与之要求相符的采购服务，若不能满足采购方要求，则视为无效报价。</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2.供应商供应参数指标符合国家及本询价文书提出的相关规格、质量标准。如达不到相关标准，采购人有权向成交供应商提出解除合同。</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11.商务条款</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bookmarkStart w:id="10" w:name="_Toc267320049"/>
      <w:r>
        <w:rPr>
          <w:rFonts w:hint="eastAsia" w:ascii="楷体_GB2312" w:hAnsi="仿宋" w:eastAsia="楷体_GB2312"/>
          <w:sz w:val="32"/>
          <w:szCs w:val="32"/>
        </w:rPr>
        <w:t>（一）实施时间、地点及验收方式</w:t>
      </w:r>
      <w:bookmarkEnd w:id="10"/>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1.实施时间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公路物流基地界公路K5+499-K5+947段改道工程开工至竣工期间</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实施</w:t>
      </w:r>
      <w:r>
        <w:rPr>
          <w:rFonts w:hint="eastAsia" w:ascii="仿宋_GB2312" w:hAnsi="仿宋" w:eastAsia="仿宋_GB2312"/>
          <w:sz w:val="32"/>
          <w:szCs w:val="32"/>
        </w:rPr>
        <w:t>地点</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eastAsia="zh-CN"/>
        </w:rPr>
        <w:t>实施</w:t>
      </w:r>
      <w:r>
        <w:rPr>
          <w:rFonts w:hint="eastAsia" w:ascii="仿宋_GB2312" w:hAnsi="仿宋" w:eastAsia="仿宋_GB2312"/>
          <w:sz w:val="32"/>
          <w:szCs w:val="32"/>
        </w:rPr>
        <w:t>地点：</w:t>
      </w:r>
      <w:r>
        <w:rPr>
          <w:rFonts w:hint="eastAsia" w:ascii="仿宋_GB2312" w:hAnsi="仿宋" w:eastAsia="仿宋_GB2312"/>
          <w:sz w:val="32"/>
          <w:szCs w:val="32"/>
          <w:lang w:val="en-US" w:eastAsia="zh-CN"/>
        </w:rPr>
        <w:t>重庆公路物流基地建设有限公司（地址：巴南区南彭街道重庆公路物流基地环道东路6号）。</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rPr>
        <w:t>（二）质量保证</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检测方案按照相关规范文件进行编制，具体检测方案及检测内容需通过业主方审核及相关行政主管部门审核（如果有）。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rPr>
      </w:pPr>
      <w:r>
        <w:rPr>
          <w:rFonts w:hint="eastAsia" w:ascii="楷体_GB2312" w:hAnsi="仿宋" w:eastAsia="楷体_GB2312"/>
          <w:sz w:val="32"/>
          <w:szCs w:val="32"/>
        </w:rPr>
        <w:t>（三）付款方式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1280" w:firstLineChars="400"/>
        <w:jc w:val="both"/>
        <w:textAlignment w:val="auto"/>
        <w:outlineLvl w:val="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工程竣工验收后一次性支付。</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rPr>
        <w:t>（四）其他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12.询价文件制作要求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检查内容：有从事</w:t>
      </w:r>
      <w:r>
        <w:rPr>
          <w:rFonts w:hint="eastAsia" w:ascii="仿宋_GB2312" w:hAnsi="仿宋" w:eastAsia="仿宋_GB2312"/>
          <w:sz w:val="32"/>
          <w:szCs w:val="32"/>
          <w:lang w:eastAsia="zh-CN"/>
        </w:rPr>
        <w:t>相关检测</w:t>
      </w:r>
      <w:r>
        <w:rPr>
          <w:rFonts w:hint="eastAsia" w:ascii="仿宋_GB2312" w:hAnsi="仿宋" w:eastAsia="仿宋_GB2312"/>
          <w:sz w:val="32"/>
          <w:szCs w:val="32"/>
        </w:rPr>
        <w:t>内容的营业执照或生产经营许可证；供应商法定代表人身份证明和法定代表人授权代表委托书。</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2、具有履行合同所必需的运输能力和专业技术能力；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上述</w:t>
      </w:r>
      <w:r>
        <w:rPr>
          <w:rFonts w:hint="eastAsia" w:ascii="仿宋_GB2312" w:hAnsi="仿宋" w:eastAsia="仿宋_GB2312"/>
          <w:sz w:val="32"/>
          <w:szCs w:val="32"/>
          <w:lang w:eastAsia="zh-CN"/>
        </w:rPr>
        <w:t>第</w:t>
      </w:r>
      <w:r>
        <w:rPr>
          <w:rFonts w:hint="eastAsia" w:ascii="仿宋_GB2312" w:hAnsi="仿宋" w:eastAsia="仿宋_GB2312"/>
          <w:sz w:val="32"/>
          <w:szCs w:val="32"/>
        </w:rPr>
        <w:t>2项检查内容：供应商提供诚信声明（格式附后）。</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以上所有证照必须年审合格，且在有效期内；函件必须为加盖鲜章的原件；复印件必须清晰可见，且加盖供应商单位鲜章。</w:t>
      </w:r>
    </w:p>
    <w:p>
      <w:pPr>
        <w:snapToGrid w:val="0"/>
        <w:spacing w:line="560" w:lineRule="exact"/>
        <w:ind w:firstLine="640" w:firstLineChars="200"/>
        <w:outlineLvl w:val="0"/>
        <w:rPr>
          <w:rFonts w:hint="eastAsia" w:ascii="楷体_GB2312" w:hAnsi="仿宋" w:eastAsia="楷体_GB2312"/>
          <w:color w:val="000000"/>
          <w:sz w:val="32"/>
          <w:szCs w:val="32"/>
        </w:rPr>
      </w:pPr>
      <w:r>
        <w:rPr>
          <w:rFonts w:hint="eastAsia" w:ascii="楷体_GB2312" w:hAnsi="仿宋" w:eastAsia="楷体_GB2312"/>
          <w:color w:val="000000"/>
          <w:sz w:val="32"/>
          <w:szCs w:val="32"/>
        </w:rPr>
        <w:t>（</w:t>
      </w:r>
      <w:r>
        <w:rPr>
          <w:rFonts w:hint="eastAsia" w:ascii="楷体_GB2312" w:hAnsi="仿宋" w:eastAsia="楷体_GB2312"/>
          <w:color w:val="000000"/>
          <w:sz w:val="32"/>
          <w:szCs w:val="32"/>
          <w:lang w:eastAsia="zh-CN"/>
        </w:rPr>
        <w:t>二</w:t>
      </w:r>
      <w:r>
        <w:rPr>
          <w:rFonts w:hint="eastAsia" w:ascii="楷体_GB2312" w:hAnsi="仿宋" w:eastAsia="楷体_GB2312"/>
          <w:color w:val="000000"/>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rPr>
        <w:t>（3）本次报价应包含以下费用：</w:t>
      </w:r>
      <w:r>
        <w:rPr>
          <w:rFonts w:hint="eastAsia" w:ascii="仿宋_GB2312" w:hAnsi="仿宋" w:eastAsia="仿宋_GB2312"/>
          <w:sz w:val="32"/>
          <w:szCs w:val="32"/>
          <w:lang w:val="en-US" w:eastAsia="zh-CN"/>
        </w:rPr>
        <w:t>完成本工程实施及竣工验收所需的一切检测费用，其中包括且不限于路基检测、路面检测、交通安全设施检测等。检测内容达到招标人及相关行政主管部门要求。</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13、投标保证金</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如数退回保证金，成交供应商缴纳的保证金签订合同后</w:t>
      </w:r>
      <w:r>
        <w:rPr>
          <w:rFonts w:hint="eastAsia" w:ascii="仿宋_GB2312" w:hAnsi="仿宋" w:eastAsia="仿宋_GB2312"/>
          <w:sz w:val="32"/>
          <w:szCs w:val="32"/>
          <w:lang w:eastAsia="zh-CN"/>
        </w:rPr>
        <w:t>自动转为履约保证金</w:t>
      </w:r>
      <w:r>
        <w:rPr>
          <w:rFonts w:hint="eastAsia" w:ascii="仿宋_GB2312" w:hAnsi="仿宋" w:eastAsia="仿宋_GB2312"/>
          <w:sz w:val="32"/>
          <w:szCs w:val="32"/>
        </w:rPr>
        <w:t>（保证金不计利息）。</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14、无效报价情形</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15、成交供应商的确定</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sz w:val="32"/>
          <w:szCs w:val="32"/>
        </w:rPr>
      </w:pPr>
      <w:r>
        <w:rPr>
          <w:rFonts w:hint="eastAsia" w:ascii="仿宋_GB2312" w:hAnsi="仿宋" w:eastAsia="仿宋_GB2312"/>
          <w:b/>
          <w:bCs/>
          <w:sz w:val="32"/>
          <w:szCs w:val="32"/>
          <w:lang w:val="en-US" w:eastAsia="zh-CN"/>
        </w:rPr>
        <w:t>17、重新招标、二次招标和不再招标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 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18、成交裁定机构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19、联系方式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一、资质文件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营业执照或生产、经营范围为栽培、租赁销售花卉正副本复印件（加盖鲜章）。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rPr>
        <w:t>二、投标文件封面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ind w:firstLine="420" w:firstLineChars="200"/>
        <w:rPr>
          <w:rFonts w:hint="eastAsia" w:ascii="黑体" w:hAnsi="仿宋" w:eastAsia="黑体"/>
          <w:sz w:val="32"/>
          <w:szCs w:val="32"/>
        </w:rPr>
      </w:pPr>
      <w:r>
        <w:rPr>
          <w:rFonts w:hint="eastAsia" w:hAnsi="仿宋"/>
          <w:kern w:val="0"/>
        </w:rPr>
        <w:br w:type="page"/>
      </w: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w:t>
      </w:r>
      <w:r>
        <w:rPr>
          <w:rFonts w:hint="eastAsia" w:ascii="仿宋_GB2312" w:hAnsi="仿宋" w:eastAsia="仿宋_GB2312" w:cs="MingLiU"/>
          <w:kern w:val="0"/>
          <w:sz w:val="32"/>
          <w:szCs w:val="32"/>
          <w:lang w:val="en-US" w:eastAsia="zh-CN"/>
        </w:rPr>
        <w:t xml:space="preserve"> </w:t>
      </w:r>
      <w:r>
        <w:rPr>
          <w:rFonts w:hint="eastAsia" w:ascii="仿宋_GB2312" w:hAnsi="仿宋" w:eastAsia="仿宋_GB2312" w:cs="MingLiU"/>
          <w:kern w:val="0"/>
          <w:sz w:val="32"/>
          <w:szCs w:val="32"/>
        </w:rPr>
        <w:t>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3、一次报价为闭口价。</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tabs>
          <w:tab w:val="left" w:pos="6300"/>
        </w:tabs>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 xml:space="preserve">项目编号：  </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W w:w="9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5130"/>
        <w:gridCol w:w="1245"/>
        <w:gridCol w:w="2534"/>
      </w:tblGrid>
      <w:tr>
        <w:tblPrEx>
          <w:tblLayout w:type="fixed"/>
          <w:tblCellMar>
            <w:top w:w="15" w:type="dxa"/>
            <w:left w:w="15" w:type="dxa"/>
            <w:bottom w:w="15" w:type="dxa"/>
            <w:right w:w="15" w:type="dxa"/>
          </w:tblCellMar>
        </w:tblPrEx>
        <w:trPr>
          <w:trHeight w:val="64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序号</w:t>
            </w:r>
          </w:p>
        </w:tc>
        <w:tc>
          <w:tcPr>
            <w:tcW w:w="5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项目内容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数量</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1</w:t>
            </w:r>
          </w:p>
        </w:tc>
        <w:tc>
          <w:tcPr>
            <w:tcW w:w="5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方正仿宋_GBK" w:hAnsi="方正仿宋_GBK" w:eastAsia="方正仿宋_GBK" w:cs="方正仿宋_GBK"/>
                <w:i w:val="0"/>
                <w:color w:val="000000"/>
                <w:sz w:val="28"/>
                <w:szCs w:val="28"/>
                <w:u w:val="none"/>
              </w:rPr>
            </w:pPr>
            <w:r>
              <w:rPr>
                <w:rFonts w:hint="eastAsia" w:ascii="仿宋_GB2312" w:hAnsi="仿宋" w:eastAsia="仿宋_GB2312"/>
                <w:sz w:val="28"/>
                <w:szCs w:val="28"/>
                <w:lang w:val="en-US" w:eastAsia="zh-CN"/>
              </w:rPr>
              <w:t xml:space="preserve">   </w:t>
            </w:r>
            <w:r>
              <w:rPr>
                <w:rFonts w:hint="eastAsia" w:ascii="仿宋_GB2312" w:hAnsi="仿宋" w:eastAsia="仿宋_GB2312"/>
                <w:sz w:val="30"/>
                <w:szCs w:val="30"/>
                <w:lang w:val="en-US" w:eastAsia="zh-CN"/>
              </w:rPr>
              <w:t>公路物流基地界公路K5+499-K5+947段改道工程所需的所有检测项目，其中包括且不限于路基检测、路面检测、交通安全设施检测等。检测内容达到招标人及相关行政主管部门要求。</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eastAsia="zh-CN"/>
              </w:rPr>
              <w:t>小写：</w:t>
            </w:r>
          </w:p>
          <w:p>
            <w:pPr>
              <w:jc w:val="both"/>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4"/>
                <w:szCs w:val="24"/>
                <w:u w:val="none"/>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8" w:hRule="atLeast"/>
        </w:trPr>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方正仿宋_GBK" w:hAnsi="方正仿宋_GBK" w:eastAsia="方正仿宋_GBK" w:cs="方正仿宋_GBK"/>
                <w:i w:val="0"/>
                <w:color w:val="000000"/>
                <w:sz w:val="28"/>
                <w:szCs w:val="28"/>
                <w:u w:val="none"/>
                <w:lang w:val="en-US" w:eastAsia="zh-CN"/>
              </w:rPr>
            </w:pPr>
            <w:r>
              <w:rPr>
                <w:rFonts w:hint="eastAsia" w:ascii="仿宋_GB2312" w:hAnsi="仿宋" w:eastAsia="仿宋_GB2312"/>
                <w:sz w:val="28"/>
                <w:szCs w:val="28"/>
                <w:lang w:val="en-US" w:eastAsia="zh-CN"/>
              </w:rPr>
              <w:t>注：检测方案按照相关规范文件进行编制，具体检测方案及检测内容需通过业主方审核及相关行政主管部门审核（如果有）。</w:t>
            </w:r>
          </w:p>
        </w:tc>
      </w:tr>
    </w:tbl>
    <w:p>
      <w:pPr>
        <w:spacing w:line="560" w:lineRule="exact"/>
        <w:ind w:firstLine="140" w:firstLineChars="50"/>
        <w:rPr>
          <w:rFonts w:hint="eastAsia" w:ascii="仿宋_GB2312" w:hAnsi="仿宋" w:eastAsia="仿宋_GB2312"/>
          <w:kern w:val="0"/>
          <w:sz w:val="28"/>
          <w:szCs w:val="28"/>
        </w:rPr>
      </w:pPr>
      <w:r>
        <w:rPr>
          <w:rFonts w:hint="eastAsia" w:ascii="仿宋_GB2312" w:hAnsi="仿宋" w:eastAsia="仿宋_GB2312"/>
          <w:kern w:val="0"/>
          <w:sz w:val="28"/>
          <w:szCs w:val="28"/>
        </w:rPr>
        <w:t xml:space="preserve">供应商（公章）： </w:t>
      </w:r>
    </w:p>
    <w:p>
      <w:pPr>
        <w:spacing w:line="560" w:lineRule="exact"/>
        <w:rPr>
          <w:rFonts w:hint="eastAsia" w:ascii="仿宋_GB2312" w:hAnsi="仿宋" w:eastAsia="仿宋_GB2312"/>
          <w:kern w:val="0"/>
          <w:sz w:val="28"/>
          <w:szCs w:val="28"/>
        </w:rPr>
      </w:pPr>
      <w:r>
        <w:rPr>
          <w:rFonts w:hint="eastAsia" w:ascii="仿宋_GB2312" w:hAnsi="仿宋" w:eastAsia="仿宋_GB2312"/>
          <w:kern w:val="0"/>
          <w:sz w:val="28"/>
          <w:szCs w:val="28"/>
        </w:rPr>
        <w:t xml:space="preserve"> 供应商法人授权代表（签名）：</w:t>
      </w:r>
    </w:p>
    <w:p>
      <w:pPr>
        <w:spacing w:line="560" w:lineRule="exact"/>
        <w:ind w:firstLine="840" w:firstLineChars="300"/>
        <w:rPr>
          <w:rFonts w:hint="eastAsia" w:ascii="仿宋_GB2312" w:hAnsi="仿宋" w:eastAsia="仿宋_GB2312"/>
          <w:kern w:val="0"/>
          <w:sz w:val="28"/>
          <w:szCs w:val="28"/>
        </w:rPr>
      </w:pPr>
      <w:r>
        <w:rPr>
          <w:rFonts w:hint="eastAsia" w:ascii="仿宋_GB2312" w:hAnsi="仿宋" w:eastAsia="仿宋_GB2312"/>
          <w:kern w:val="0"/>
          <w:sz w:val="28"/>
          <w:szCs w:val="28"/>
        </w:rPr>
        <w:t>年    月     日</w:t>
      </w:r>
    </w:p>
    <w:p>
      <w:pPr>
        <w:spacing w:line="560" w:lineRule="exact"/>
        <w:rPr>
          <w:rFonts w:hint="eastAsia" w:ascii="仿宋_GB2312" w:hAnsi="仿宋" w:eastAsia="仿宋_GB2312"/>
          <w:kern w:val="0"/>
          <w:sz w:val="28"/>
          <w:szCs w:val="28"/>
        </w:rPr>
      </w:pPr>
      <w:r>
        <w:rPr>
          <w:rFonts w:hint="eastAsia" w:ascii="仿宋_GB2312" w:hAnsi="仿宋" w:eastAsia="仿宋_GB2312"/>
          <w:kern w:val="0"/>
          <w:sz w:val="28"/>
          <w:szCs w:val="28"/>
        </w:rPr>
        <w:t xml:space="preserve">                                                                      </w:t>
      </w:r>
    </w:p>
    <w:p>
      <w:pPr>
        <w:spacing w:line="560" w:lineRule="exact"/>
        <w:rPr>
          <w:rFonts w:hint="eastAsia" w:ascii="仿宋_GB2312" w:hAnsi="仿宋" w:eastAsia="仿宋_GB2312"/>
          <w:b/>
          <w:kern w:val="0"/>
          <w:sz w:val="28"/>
          <w:szCs w:val="28"/>
        </w:rPr>
      </w:pPr>
      <w:r>
        <w:rPr>
          <w:rFonts w:hint="eastAsia" w:ascii="仿宋_GB2312" w:hAnsi="仿宋" w:eastAsia="仿宋_GB2312"/>
          <w:kern w:val="0"/>
          <w:sz w:val="28"/>
          <w:szCs w:val="28"/>
        </w:rPr>
        <w:t>说明：询价一览表在询价采购会上当众宣读，务必填写清楚、准确无误；内容不全或字迹模糊，辨认不清而影响评标定标的作无效报价处理。</w:t>
      </w:r>
    </w:p>
    <w:p>
      <w:pPr>
        <w:snapToGrid w:val="0"/>
        <w:spacing w:line="560" w:lineRule="exact"/>
        <w:rPr>
          <w:rFonts w:hint="eastAsia" w:ascii="仿宋_GB2312" w:hAnsi="仿宋" w:eastAsia="仿宋_GB2312"/>
          <w:b/>
          <w:kern w:val="0"/>
          <w:sz w:val="32"/>
          <w:szCs w:val="32"/>
        </w:rPr>
      </w:pPr>
    </w:p>
    <w:p>
      <w:pPr>
        <w:snapToGrid w:val="0"/>
        <w:spacing w:line="560" w:lineRule="exact"/>
        <w:rPr>
          <w:rFonts w:hint="eastAsia" w:ascii="仿宋_GB2312" w:hAnsi="仿宋" w:eastAsia="仿宋_GB2312"/>
          <w:b/>
          <w:kern w:val="0"/>
          <w:sz w:val="32"/>
          <w:szCs w:val="32"/>
        </w:rPr>
      </w:pPr>
    </w:p>
    <w:p>
      <w:pPr>
        <w:snapToGrid w:val="0"/>
        <w:spacing w:line="560" w:lineRule="exact"/>
        <w:rPr>
          <w:rFonts w:hint="eastAsia" w:ascii="仿宋_GB2312" w:hAnsi="仿宋" w:eastAsia="仿宋_GB2312"/>
          <w:b/>
          <w:kern w:val="0"/>
          <w:sz w:val="32"/>
          <w:szCs w:val="32"/>
        </w:rPr>
      </w:pPr>
    </w:p>
    <w:p>
      <w:pPr>
        <w:spacing w:line="560" w:lineRule="exact"/>
        <w:rPr>
          <w:rFonts w:hint="eastAsia" w:ascii="仿宋_GB2312" w:hAnsi="仿宋" w:eastAsia="仿宋_GB2312"/>
          <w:spacing w:val="20"/>
          <w:kern w:val="0"/>
          <w:sz w:val="32"/>
          <w:szCs w:val="32"/>
        </w:rPr>
      </w:pPr>
    </w:p>
    <w:p>
      <w:pPr>
        <w:spacing w:line="560" w:lineRule="exact"/>
        <w:rPr>
          <w:rFonts w:hint="eastAsia" w:ascii="仿宋_GB2312" w:hAnsi="仿宋" w:eastAsia="仿宋_GB2312"/>
          <w:spacing w:val="20"/>
          <w:kern w:val="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2098" w:right="1474" w:bottom="1985" w:left="1588" w:header="964" w:footer="992" w:gutter="0"/>
          <w:pgNumType w:fmt="numberInDash"/>
          <w:cols w:space="720" w:num="1"/>
          <w:docGrid w:type="linesAndChars" w:linePitch="381" w:charSpace="0"/>
        </w:sect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pPr>
        <w:spacing w:line="5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公路物流基地界公路K5+499-K5+947段改道</w:t>
      </w:r>
    </w:p>
    <w:p>
      <w:pPr>
        <w:spacing w:line="5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工程</w:t>
      </w:r>
      <w:r>
        <w:rPr>
          <w:rFonts w:hint="eastAsia" w:ascii="仿宋_GB2312" w:hAnsi="仿宋" w:eastAsia="仿宋_GB2312"/>
          <w:sz w:val="32"/>
          <w:szCs w:val="32"/>
          <w:lang w:eastAsia="zh-CN"/>
        </w:rPr>
        <w:t>检测服务</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（采购项目编号：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甲方（需方）：</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乙方（供方）：</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widowControl/>
        <w:shd w:val="clear" w:color="auto" w:fill="FFFFFF"/>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甲、乙双方根据</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日项目（询价编号：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）询价结果和有关询价文件的要求、报价文件的承诺，依照《中华人民共和国合同法》及有关法律、法规，遵循平等、自愿、公平和诚实信用的原则，双方就本采购事项协商一致，订立以下合同：</w:t>
      </w:r>
    </w:p>
    <w:p>
      <w:pPr>
        <w:widowControl/>
        <w:ind w:firstLine="627" w:firstLineChars="196"/>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b/>
          <w:color w:val="000000"/>
          <w:sz w:val="32"/>
          <w:szCs w:val="32"/>
          <w:lang w:eastAsia="zh-CN"/>
        </w:rPr>
        <w:t>检验内容及要求</w:t>
      </w:r>
    </w:p>
    <w:p>
      <w:pPr>
        <w:widowControl/>
        <w:ind w:firstLine="588" w:firstLineChars="196"/>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公路物流基地界公路K5+499-K5+947段改道工程所需的所有检测项目，其中包括且不限于路基检测、路面检测、交通安全设施检测等。检测内容达到招标人及相关行政主管部门要求。</w:t>
      </w:r>
    </w:p>
    <w:p>
      <w:pPr>
        <w:widowControl/>
        <w:ind w:firstLine="627" w:firstLineChars="196"/>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二、质量要求</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达到国家现行有关施工质量竣工验收规范要求，检测方案按照相关规范文件进行编制，具体检测方案及检测内容需通过业主方审核及相关行政主管部门审核（如果有）。</w:t>
      </w:r>
    </w:p>
    <w:p>
      <w:pPr>
        <w:widowControl/>
        <w:shd w:val="clear" w:color="auto" w:fill="FFFFFF"/>
        <w:spacing w:line="56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eastAsia="zh-CN"/>
        </w:rPr>
        <w:t>三</w:t>
      </w:r>
      <w:r>
        <w:rPr>
          <w:rFonts w:hint="eastAsia" w:ascii="仿宋_GB2312" w:hAnsi="仿宋" w:eastAsia="仿宋_GB2312" w:cs="宋体"/>
          <w:b/>
          <w:bCs/>
          <w:kern w:val="0"/>
          <w:sz w:val="32"/>
          <w:szCs w:val="32"/>
        </w:rPr>
        <w:t>、履约保证金</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1、本项目履约保证金金额为：</w:t>
      </w:r>
      <w:r>
        <w:rPr>
          <w:rFonts w:hint="eastAsia" w:ascii="仿宋_GB2312" w:hAnsi="仿宋" w:eastAsia="仿宋_GB2312" w:cs="Times New Roman"/>
          <w:kern w:val="2"/>
          <w:sz w:val="32"/>
          <w:szCs w:val="32"/>
          <w:u w:val="single"/>
          <w:lang w:val="en-US" w:eastAsia="zh-CN" w:bidi="ar-SA"/>
        </w:rPr>
        <w:t>1000.00</w:t>
      </w:r>
      <w:r>
        <w:rPr>
          <w:rFonts w:hint="eastAsia" w:ascii="仿宋_GB2312" w:hAnsi="仿宋" w:eastAsia="仿宋_GB2312" w:cs="Times New Roman"/>
          <w:kern w:val="2"/>
          <w:sz w:val="32"/>
          <w:szCs w:val="32"/>
          <w:lang w:val="en-US" w:eastAsia="zh-CN" w:bidi="ar-SA"/>
        </w:rPr>
        <w:t>（大写：壹仟元整），中标人应在合同签订前按时向招标人账户交纳履约保证金。未能按期缴纳履约保证金的，视为放弃中标。</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2、合同履行完毕并经招标人同意后一次性无息退还。</w:t>
      </w:r>
    </w:p>
    <w:p>
      <w:pPr>
        <w:numPr>
          <w:ilvl w:val="0"/>
          <w:numId w:val="0"/>
        </w:numPr>
        <w:snapToGrid w:val="0"/>
        <w:spacing w:line="360" w:lineRule="auto"/>
        <w:ind w:leftChars="0"/>
        <w:rPr>
          <w:rFonts w:hint="eastAsia" w:ascii="仿宋_GB2312" w:hAnsi="仿宋_GB2312" w:eastAsia="仿宋_GB2312" w:cs="仿宋_GB2312"/>
          <w:color w:val="000000"/>
          <w:sz w:val="32"/>
          <w:szCs w:val="32"/>
        </w:rPr>
      </w:pPr>
      <w:r>
        <w:rPr>
          <w:rFonts w:hint="eastAsia" w:ascii="仿宋_GB2312" w:hAnsi="仿宋" w:eastAsia="仿宋_GB2312"/>
          <w:b/>
          <w:bCs/>
          <w:sz w:val="32"/>
          <w:szCs w:val="32"/>
          <w:lang w:val="en-US" w:eastAsia="zh-CN"/>
        </w:rPr>
        <w:t xml:space="preserve">    四</w:t>
      </w:r>
      <w:r>
        <w:rPr>
          <w:rFonts w:hint="eastAsia" w:ascii="仿宋_GB2312" w:hAnsi="仿宋_GB2312" w:eastAsia="仿宋_GB2312" w:cs="仿宋_GB2312"/>
          <w:b/>
          <w:color w:val="000000"/>
          <w:sz w:val="32"/>
          <w:szCs w:val="32"/>
        </w:rPr>
        <w:t>、合同纠纷解决方式</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双方协商，若协商不成，可依法向人民法院提起诉讼。</w:t>
      </w:r>
    </w:p>
    <w:p>
      <w:pPr>
        <w:widowControl/>
        <w:shd w:val="clear" w:color="auto" w:fill="FFFFFF"/>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 xml:space="preserve">    五</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份，甲乙双方各执</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份，经双方签字盖章后生效，具备同等法律效力。</w:t>
      </w:r>
    </w:p>
    <w:p>
      <w:pPr>
        <w:spacing w:line="360" w:lineRule="auto"/>
        <w:rPr>
          <w:rFonts w:hint="eastAsia" w:eastAsia="仿宋_GB2312"/>
          <w:sz w:val="30"/>
          <w:szCs w:val="30"/>
        </w:rPr>
      </w:pPr>
    </w:p>
    <w:p>
      <w:pPr>
        <w:spacing w:line="360" w:lineRule="auto"/>
        <w:rPr>
          <w:rFonts w:hint="eastAsia" w:eastAsia="仿宋_GB2312"/>
          <w:sz w:val="30"/>
          <w:szCs w:val="30"/>
        </w:rPr>
      </w:pPr>
      <w:r>
        <w:rPr>
          <w:rFonts w:hint="eastAsia" w:eastAsia="仿宋_GB2312"/>
          <w:sz w:val="30"/>
          <w:szCs w:val="30"/>
        </w:rPr>
        <w:t>甲 方（需方）：</w:t>
      </w:r>
      <w:r>
        <w:rPr>
          <w:rFonts w:eastAsia="仿宋_GB2312"/>
          <w:sz w:val="30"/>
          <w:szCs w:val="30"/>
        </w:rPr>
        <w:t>(公章)</w:t>
      </w:r>
      <w:r>
        <w:rPr>
          <w:rFonts w:hint="eastAsia" w:eastAsia="仿宋_GB2312"/>
          <w:sz w:val="30"/>
          <w:szCs w:val="30"/>
        </w:rPr>
        <w:t xml:space="preserve">         乙 方（供方）：</w:t>
      </w:r>
      <w:r>
        <w:rPr>
          <w:rFonts w:eastAsia="仿宋_GB2312"/>
          <w:sz w:val="30"/>
          <w:szCs w:val="30"/>
        </w:rPr>
        <w:t>(公章)</w:t>
      </w:r>
    </w:p>
    <w:p>
      <w:pPr>
        <w:spacing w:line="360" w:lineRule="auto"/>
        <w:rPr>
          <w:rFonts w:hint="eastAsia" w:eastAsia="仿宋_GB2312"/>
          <w:sz w:val="30"/>
          <w:szCs w:val="30"/>
          <w:u w:val="single"/>
        </w:rPr>
      </w:pPr>
      <w:r>
        <w:rPr>
          <w:rFonts w:hint="eastAsia" w:eastAsia="仿宋_GB2312"/>
          <w:sz w:val="30"/>
          <w:szCs w:val="30"/>
        </w:rPr>
        <w:t xml:space="preserve">                                 </w:t>
      </w:r>
    </w:p>
    <w:p>
      <w:pPr>
        <w:spacing w:line="360" w:lineRule="auto"/>
        <w:rPr>
          <w:rFonts w:hint="eastAsia" w:eastAsia="仿宋_GB2312"/>
          <w:sz w:val="30"/>
          <w:szCs w:val="30"/>
        </w:rPr>
      </w:pPr>
      <w:r>
        <w:rPr>
          <w:rFonts w:hint="eastAsia" w:eastAsia="仿宋_GB2312"/>
          <w:sz w:val="30"/>
          <w:szCs w:val="30"/>
        </w:rPr>
        <w:t>法定代表人或其委托代理人：  法定代表人或其委托代理人：</w:t>
      </w:r>
    </w:p>
    <w:p>
      <w:pPr>
        <w:spacing w:line="360" w:lineRule="auto"/>
        <w:rPr>
          <w:rFonts w:hint="eastAsia" w:eastAsia="仿宋_GB2312"/>
          <w:sz w:val="30"/>
          <w:szCs w:val="30"/>
        </w:rPr>
      </w:pPr>
      <w:r>
        <w:rPr>
          <w:rFonts w:hint="eastAsia" w:eastAsia="仿宋_GB2312"/>
          <w:sz w:val="30"/>
          <w:szCs w:val="30"/>
        </w:rPr>
        <w:t>（签字）                    （签字）</w:t>
      </w:r>
    </w:p>
    <w:p>
      <w:pPr>
        <w:spacing w:line="360" w:lineRule="auto"/>
        <w:rPr>
          <w:rFonts w:hint="eastAsia" w:eastAsia="仿宋_GB2312"/>
          <w:sz w:val="30"/>
          <w:szCs w:val="30"/>
          <w:u w:val="single"/>
        </w:rPr>
      </w:pPr>
    </w:p>
    <w:p>
      <w:pPr>
        <w:spacing w:line="560" w:lineRule="exact"/>
        <w:rPr>
          <w:rFonts w:hint="eastAsia" w:ascii="仿宋_GB2312" w:eastAsia="仿宋_GB2312"/>
          <w:sz w:val="32"/>
          <w:szCs w:val="32"/>
        </w:rPr>
      </w:pPr>
      <w:r>
        <w:rPr>
          <w:rFonts w:hint="eastAsia" w:ascii="仿宋_GB2312" w:eastAsia="仿宋_GB2312"/>
          <w:sz w:val="32"/>
          <w:szCs w:val="32"/>
        </w:rPr>
        <w:t>时 间：   年   月   日     时 间：   年   月   日</w:t>
      </w:r>
    </w:p>
    <w:p>
      <w:pPr>
        <w:widowControl/>
        <w:shd w:val="clear" w:color="auto" w:fill="FFFFFF"/>
        <w:spacing w:line="560" w:lineRule="exact"/>
        <w:ind w:firstLine="800" w:firstLineChars="250"/>
        <w:jc w:val="left"/>
        <w:rPr>
          <w:rFonts w:hint="eastAsia" w:ascii="仿宋_GB2312" w:hAnsi="仿宋" w:eastAsia="仿宋_GB2312"/>
          <w:sz w:val="32"/>
          <w:szCs w:val="32"/>
        </w:rPr>
      </w:pPr>
    </w:p>
    <w:sectPr>
      <w:headerReference r:id="rId9" w:type="default"/>
      <w:footerReference r:id="rId10"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RomanS">
    <w:panose1 w:val="02000400000000000000"/>
    <w:charset w:val="00"/>
    <w:family w:val="auto"/>
    <w:pitch w:val="default"/>
    <w:sig w:usb0="00000207" w:usb1="00000000" w:usb2="00000000"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Calibri">
    <w:panose1 w:val="020F0502020204030204"/>
    <w:charset w:val="86"/>
    <w:family w:val="auto"/>
    <w:pitch w:val="default"/>
    <w:sig w:usb0="E10002FF" w:usb1="4000ACFF" w:usb2="00000009" w:usb3="00000000" w:csb0="2000019F" w:csb1="00000000"/>
  </w:font>
  <w:font w:name="Lucida Sans">
    <w:altName w:val="宋体"/>
    <w:panose1 w:val="020B0602030504020204"/>
    <w:charset w:val="86"/>
    <w:family w:val="auto"/>
    <w:pitch w:val="default"/>
    <w:sig w:usb0="00000000" w:usb1="00000000" w:usb2="00000000" w:usb3="00000000" w:csb0="20000001" w:csb1="00000000"/>
  </w:font>
  <w:font w:name="Times">
    <w:altName w:val="Times New Roman"/>
    <w:panose1 w:val="020005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书宋_GBK">
    <w:altName w:val="微软雅黑"/>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方正仿宋_GBK">
    <w:altName w:val="仿宋"/>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Calibri Light">
    <w:altName w:val="RomanS"/>
    <w:panose1 w:val="020F0302020204030204"/>
    <w:charset w:val="00"/>
    <w:family w:val="swiss"/>
    <w:pitch w:val="default"/>
    <w:sig w:usb0="00000000" w:usb1="00000000" w:usb2="00000000" w:usb3="00000000" w:csb0="0000019F"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20.7pt;width:15pt;mso-position-horizontal:center;mso-position-horizontal-relative:margin;mso-wrap-style:none;z-index:251658240;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9ecV1AAAAAMBAAAPAAAAAAAAAAEAIAAAACIAAABkcnMvZG93bnJldi54bWxQSwECFAAU&#10;AAAACACHTuJA1pm1qLwBAABWAwAADgAAAAAAAAABACAAAAAjAQAAZHJzL2Uyb0RvYy54bWxQSwUG&#10;AAAAAAYABgBZAQAAUQU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B98C"/>
    <w:multiLevelType w:val="singleLevel"/>
    <w:tmpl w:val="5938B98C"/>
    <w:lvl w:ilvl="0" w:tentative="0">
      <w:start w:val="1"/>
      <w:numFmt w:val="decimal"/>
      <w:suff w:val="space"/>
      <w:lvlText w:val="%1."/>
      <w:lvlJc w:val="left"/>
    </w:lvl>
  </w:abstractNum>
  <w:abstractNum w:abstractNumId="1">
    <w:nsid w:val="599E93F0"/>
    <w:multiLevelType w:val="singleLevel"/>
    <w:tmpl w:val="599E93F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4B17441"/>
    <w:rsid w:val="04F2372E"/>
    <w:rsid w:val="05145E61"/>
    <w:rsid w:val="07944BFB"/>
    <w:rsid w:val="07C67604"/>
    <w:rsid w:val="07FA60AD"/>
    <w:rsid w:val="0971450C"/>
    <w:rsid w:val="09A0524B"/>
    <w:rsid w:val="0A3F3229"/>
    <w:rsid w:val="0A4038E0"/>
    <w:rsid w:val="0AAC0A11"/>
    <w:rsid w:val="0B243B52"/>
    <w:rsid w:val="0B8528F2"/>
    <w:rsid w:val="0B9A2898"/>
    <w:rsid w:val="0CBB350A"/>
    <w:rsid w:val="0CF74D52"/>
    <w:rsid w:val="0D177805"/>
    <w:rsid w:val="0D8F61CA"/>
    <w:rsid w:val="0E937FF7"/>
    <w:rsid w:val="0FB32AE3"/>
    <w:rsid w:val="11F62C07"/>
    <w:rsid w:val="13180F9F"/>
    <w:rsid w:val="131C29E9"/>
    <w:rsid w:val="136817E4"/>
    <w:rsid w:val="144C52D9"/>
    <w:rsid w:val="155B5497"/>
    <w:rsid w:val="15FE0523"/>
    <w:rsid w:val="16433031"/>
    <w:rsid w:val="17853822"/>
    <w:rsid w:val="17E342B1"/>
    <w:rsid w:val="17F141D6"/>
    <w:rsid w:val="18522F76"/>
    <w:rsid w:val="1A302507"/>
    <w:rsid w:val="1B142779"/>
    <w:rsid w:val="1B6B3188"/>
    <w:rsid w:val="1B6B6A0B"/>
    <w:rsid w:val="1BEC3F28"/>
    <w:rsid w:val="1CFD009B"/>
    <w:rsid w:val="1E993340"/>
    <w:rsid w:val="1FCA14B3"/>
    <w:rsid w:val="1FEA77EA"/>
    <w:rsid w:val="20361E67"/>
    <w:rsid w:val="20CE32DF"/>
    <w:rsid w:val="20D94EF4"/>
    <w:rsid w:val="21250645"/>
    <w:rsid w:val="22333EAB"/>
    <w:rsid w:val="22F40AC0"/>
    <w:rsid w:val="22F8166B"/>
    <w:rsid w:val="242877DE"/>
    <w:rsid w:val="24A97563"/>
    <w:rsid w:val="24D50BFC"/>
    <w:rsid w:val="254C40BE"/>
    <w:rsid w:val="27C2034A"/>
    <w:rsid w:val="27C24AC7"/>
    <w:rsid w:val="283A348C"/>
    <w:rsid w:val="294D33B6"/>
    <w:rsid w:val="2B122C35"/>
    <w:rsid w:val="2C8C7F23"/>
    <w:rsid w:val="2D623FF4"/>
    <w:rsid w:val="2D8A7422"/>
    <w:rsid w:val="2F1808D1"/>
    <w:rsid w:val="2F2F055D"/>
    <w:rsid w:val="2F5A2B66"/>
    <w:rsid w:val="2FBB395D"/>
    <w:rsid w:val="3088782E"/>
    <w:rsid w:val="30C93B1B"/>
    <w:rsid w:val="31290069"/>
    <w:rsid w:val="3156013C"/>
    <w:rsid w:val="31C439B2"/>
    <w:rsid w:val="33455CCE"/>
    <w:rsid w:val="33814F8D"/>
    <w:rsid w:val="339D009E"/>
    <w:rsid w:val="33B679E6"/>
    <w:rsid w:val="33DD204A"/>
    <w:rsid w:val="34853536"/>
    <w:rsid w:val="34C63D58"/>
    <w:rsid w:val="34ED44A0"/>
    <w:rsid w:val="3507028C"/>
    <w:rsid w:val="356F0CD5"/>
    <w:rsid w:val="36C450EA"/>
    <w:rsid w:val="36D91552"/>
    <w:rsid w:val="371B2276"/>
    <w:rsid w:val="37910FBB"/>
    <w:rsid w:val="37B336EE"/>
    <w:rsid w:val="37BB39AA"/>
    <w:rsid w:val="38145D11"/>
    <w:rsid w:val="388C0E52"/>
    <w:rsid w:val="38D834D0"/>
    <w:rsid w:val="38EE3475"/>
    <w:rsid w:val="3A7F4B06"/>
    <w:rsid w:val="3B02185C"/>
    <w:rsid w:val="3B6405FB"/>
    <w:rsid w:val="3D7725E5"/>
    <w:rsid w:val="3D97091B"/>
    <w:rsid w:val="3DAD4CBD"/>
    <w:rsid w:val="3E9C6B44"/>
    <w:rsid w:val="3EFD18AC"/>
    <w:rsid w:val="3F142664"/>
    <w:rsid w:val="3F34383F"/>
    <w:rsid w:val="3F5622C3"/>
    <w:rsid w:val="3F9F6872"/>
    <w:rsid w:val="42014C57"/>
    <w:rsid w:val="42405780"/>
    <w:rsid w:val="4298644F"/>
    <w:rsid w:val="42CE0B28"/>
    <w:rsid w:val="43EA5429"/>
    <w:rsid w:val="45441DF5"/>
    <w:rsid w:val="45C76287"/>
    <w:rsid w:val="46814372"/>
    <w:rsid w:val="47993F84"/>
    <w:rsid w:val="487216E8"/>
    <w:rsid w:val="498118A6"/>
    <w:rsid w:val="49935F42"/>
    <w:rsid w:val="4A0F498D"/>
    <w:rsid w:val="4A7B5341"/>
    <w:rsid w:val="4BA40AC6"/>
    <w:rsid w:val="4C2365F6"/>
    <w:rsid w:val="4C855396"/>
    <w:rsid w:val="4C943B17"/>
    <w:rsid w:val="4C9A533B"/>
    <w:rsid w:val="4D3D03C8"/>
    <w:rsid w:val="4D935553"/>
    <w:rsid w:val="4E0A4298"/>
    <w:rsid w:val="4E1E41ED"/>
    <w:rsid w:val="4ED313F5"/>
    <w:rsid w:val="4F1B40D5"/>
    <w:rsid w:val="512E60BF"/>
    <w:rsid w:val="513A40D0"/>
    <w:rsid w:val="52077FA0"/>
    <w:rsid w:val="528A4CF6"/>
    <w:rsid w:val="52F656AA"/>
    <w:rsid w:val="53442347"/>
    <w:rsid w:val="534D2836"/>
    <w:rsid w:val="54FE5A7F"/>
    <w:rsid w:val="56DC4E2C"/>
    <w:rsid w:val="58FC029B"/>
    <w:rsid w:val="596B17A3"/>
    <w:rsid w:val="5AF9704F"/>
    <w:rsid w:val="5BC849FC"/>
    <w:rsid w:val="5C80234E"/>
    <w:rsid w:val="5D3A6707"/>
    <w:rsid w:val="5DA22FFC"/>
    <w:rsid w:val="601A2EBA"/>
    <w:rsid w:val="60665537"/>
    <w:rsid w:val="60A85FA1"/>
    <w:rsid w:val="615C7332"/>
    <w:rsid w:val="61A11A3C"/>
    <w:rsid w:val="627B391D"/>
    <w:rsid w:val="656018EF"/>
    <w:rsid w:val="65A93AD5"/>
    <w:rsid w:val="65D43A20"/>
    <w:rsid w:val="65EA7DC1"/>
    <w:rsid w:val="66CB0C5B"/>
    <w:rsid w:val="675A6D1E"/>
    <w:rsid w:val="679113F7"/>
    <w:rsid w:val="691702F9"/>
    <w:rsid w:val="69187F79"/>
    <w:rsid w:val="6985092D"/>
    <w:rsid w:val="69991BA6"/>
    <w:rsid w:val="6AF01B6E"/>
    <w:rsid w:val="6C8316E1"/>
    <w:rsid w:val="6DAC0CFD"/>
    <w:rsid w:val="6FCC3B65"/>
    <w:rsid w:val="704D5DCD"/>
    <w:rsid w:val="71705E05"/>
    <w:rsid w:val="724B6028"/>
    <w:rsid w:val="72B84BC2"/>
    <w:rsid w:val="74547E66"/>
    <w:rsid w:val="74B62489"/>
    <w:rsid w:val="74D74BBC"/>
    <w:rsid w:val="756B6737"/>
    <w:rsid w:val="75845FDA"/>
    <w:rsid w:val="760050F4"/>
    <w:rsid w:val="76931A1A"/>
    <w:rsid w:val="77810B33"/>
    <w:rsid w:val="78106988"/>
    <w:rsid w:val="781A4D19"/>
    <w:rsid w:val="798C38F6"/>
    <w:rsid w:val="79B77FBE"/>
    <w:rsid w:val="7A026DB8"/>
    <w:rsid w:val="7AE92199"/>
    <w:rsid w:val="7B731598"/>
    <w:rsid w:val="7CA33E88"/>
    <w:rsid w:val="7CAE5A9D"/>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 w:type="character" w:customStyle="1" w:styleId="218">
    <w:name w:val="font01"/>
    <w:basedOn w:val="23"/>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惢⌒碎了兂痕</cp:lastModifiedBy>
  <cp:lastPrinted>2017-12-26T09:16:00Z</cp:lastPrinted>
  <dcterms:modified xsi:type="dcterms:W3CDTF">2018-01-03T08:06:17Z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